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9C692" w14:textId="337A0DD0" w:rsidR="00932416" w:rsidRDefault="00052102" w:rsidP="007046DB">
      <w:pPr>
        <w:spacing w:line="240" w:lineRule="auto"/>
        <w:jc w:val="center"/>
        <w:rPr>
          <w:b/>
          <w:sz w:val="36"/>
        </w:rPr>
      </w:pPr>
      <w:r>
        <w:rPr>
          <w:b/>
          <w:noProof/>
          <w:sz w:val="36"/>
          <w:lang w:eastAsia="en-GB"/>
        </w:rPr>
        <mc:AlternateContent>
          <mc:Choice Requires="wps">
            <w:drawing>
              <wp:anchor distT="0" distB="0" distL="114300" distR="114300" simplePos="0" relativeHeight="251657215" behindDoc="1" locked="0" layoutInCell="1" allowOverlap="1" wp14:anchorId="31179198" wp14:editId="6C70ABD1">
                <wp:simplePos x="0" y="0"/>
                <wp:positionH relativeFrom="column">
                  <wp:posOffset>-424727</wp:posOffset>
                </wp:positionH>
                <wp:positionV relativeFrom="paragraph">
                  <wp:posOffset>-637540</wp:posOffset>
                </wp:positionV>
                <wp:extent cx="6985177" cy="10100930"/>
                <wp:effectExtent l="19050" t="19050" r="44450" b="34290"/>
                <wp:wrapNone/>
                <wp:docPr id="2" name="Rectangle 2"/>
                <wp:cNvGraphicFramePr/>
                <a:graphic xmlns:a="http://schemas.openxmlformats.org/drawingml/2006/main">
                  <a:graphicData uri="http://schemas.microsoft.com/office/word/2010/wordprocessingShape">
                    <wps:wsp>
                      <wps:cNvSpPr/>
                      <wps:spPr>
                        <a:xfrm>
                          <a:off x="0" y="0"/>
                          <a:ext cx="6985177" cy="10100930"/>
                        </a:xfrm>
                        <a:prstGeom prst="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E8BFF" id="Rectangle 2" o:spid="_x0000_s1026" style="position:absolute;margin-left:-33.45pt;margin-top:-50.2pt;width:550pt;height:795.3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" filled="f" strokecolor="#0070c0" strokeweight="4.5pt"/>
            </w:pict>
          </mc:Fallback>
        </mc:AlternateContent>
      </w:r>
      <w:r w:rsidR="00BE5641">
        <w:rPr>
          <w:b/>
          <w:sz w:val="36"/>
        </w:rPr>
        <w:br/>
      </w:r>
      <w:r w:rsidR="002735DF">
        <w:rPr>
          <w:b/>
          <w:sz w:val="36"/>
        </w:rPr>
        <w:t>Spring</w:t>
      </w:r>
      <w:r w:rsidR="00932416">
        <w:rPr>
          <w:b/>
          <w:sz w:val="36"/>
        </w:rPr>
        <w:t xml:space="preserve"> Term </w:t>
      </w:r>
      <w:r w:rsidR="002735DF">
        <w:rPr>
          <w:b/>
          <w:sz w:val="36"/>
        </w:rPr>
        <w:t>2020</w:t>
      </w:r>
      <w:r w:rsidR="00932416">
        <w:rPr>
          <w:b/>
          <w:sz w:val="36"/>
        </w:rPr>
        <w:t xml:space="preserve"> </w:t>
      </w:r>
    </w:p>
    <w:p w14:paraId="59037FBE" w14:textId="77777777" w:rsidR="00B333DC" w:rsidRDefault="00FA2341" w:rsidP="007046DB">
      <w:pPr>
        <w:spacing w:line="240" w:lineRule="auto"/>
        <w:jc w:val="center"/>
        <w:rPr>
          <w:b/>
          <w:sz w:val="36"/>
        </w:rPr>
      </w:pPr>
      <w:r w:rsidRPr="00FA2341">
        <w:rPr>
          <w:b/>
          <w:sz w:val="36"/>
        </w:rPr>
        <w:t>PP / SEN Newsletter</w:t>
      </w:r>
    </w:p>
    <w:p w14:paraId="76487868" w14:textId="697A0038" w:rsidR="00BE5641" w:rsidRPr="007046DB" w:rsidRDefault="007046DB" w:rsidP="00BE5641">
      <w:pPr>
        <w:rPr>
          <w:sz w:val="24"/>
        </w:rPr>
      </w:pPr>
      <w:r>
        <w:rPr>
          <w:sz w:val="24"/>
        </w:rPr>
        <w:t>Dear Staff</w:t>
      </w:r>
      <w:r w:rsidR="00BE5641" w:rsidRPr="007046DB">
        <w:rPr>
          <w:sz w:val="24"/>
        </w:rPr>
        <w:t>,</w:t>
      </w:r>
    </w:p>
    <w:p w14:paraId="55402C8F" w14:textId="77777777" w:rsidR="00E31E54" w:rsidRPr="007046DB" w:rsidRDefault="002735DF" w:rsidP="00BE5641">
      <w:pPr>
        <w:rPr>
          <w:sz w:val="24"/>
        </w:rPr>
      </w:pPr>
      <w:r w:rsidRPr="007046DB">
        <w:rPr>
          <w:sz w:val="24"/>
        </w:rPr>
        <w:t xml:space="preserve">Please find below our latest newsletter, which includes a few changes to the statistics due to the pupils on roll. </w:t>
      </w:r>
      <w:r w:rsidR="00E31E54" w:rsidRPr="007046DB">
        <w:rPr>
          <w:sz w:val="24"/>
        </w:rPr>
        <w:t xml:space="preserve">Please come and speak to us about the disadvantaged pupils </w:t>
      </w:r>
      <w:r w:rsidR="00052102" w:rsidRPr="007046DB">
        <w:rPr>
          <w:sz w:val="24"/>
        </w:rPr>
        <w:t>and ask any questions.</w:t>
      </w:r>
    </w:p>
    <w:p w14:paraId="19FA50AE" w14:textId="77777777" w:rsidR="00E31E54" w:rsidRPr="007046DB" w:rsidRDefault="00E31E54" w:rsidP="00BE5641">
      <w:pPr>
        <w:rPr>
          <w:sz w:val="24"/>
        </w:rPr>
      </w:pPr>
      <w:r w:rsidRPr="007046DB">
        <w:rPr>
          <w:sz w:val="24"/>
        </w:rPr>
        <w:t>Many thanks,</w:t>
      </w:r>
    </w:p>
    <w:p w14:paraId="32F5D7D0" w14:textId="77777777" w:rsidR="00E31E54" w:rsidRPr="00C94F07" w:rsidRDefault="00E31E54" w:rsidP="00BE5641">
      <w:pPr>
        <w:rPr>
          <w:sz w:val="6"/>
        </w:rPr>
      </w:pPr>
      <w:r w:rsidRPr="007046DB">
        <w:rPr>
          <w:sz w:val="24"/>
        </w:rPr>
        <w:t>Rob (Pupil Premium lead) and Emma (SENCo)</w:t>
      </w:r>
    </w:p>
    <w:tbl>
      <w:tblPr>
        <w:tblStyle w:val="TableGrid"/>
        <w:tblW w:w="0" w:type="auto"/>
        <w:tblLook w:val="04A0" w:firstRow="1" w:lastRow="0" w:firstColumn="1" w:lastColumn="0" w:noHBand="0" w:noVBand="1"/>
      </w:tblPr>
      <w:tblGrid>
        <w:gridCol w:w="5100"/>
        <w:gridCol w:w="2305"/>
        <w:gridCol w:w="2244"/>
      </w:tblGrid>
      <w:tr w:rsidR="00BE5641" w14:paraId="35D602FF" w14:textId="77777777" w:rsidTr="0047715D">
        <w:trPr>
          <w:trHeight w:val="294"/>
        </w:trPr>
        <w:tc>
          <w:tcPr>
            <w:tcW w:w="5100" w:type="dxa"/>
            <w:shd w:val="clear" w:color="auto" w:fill="66CCFF"/>
          </w:tcPr>
          <w:p w14:paraId="1C650DAC" w14:textId="77777777" w:rsidR="00BE5641" w:rsidRPr="00E31E54" w:rsidRDefault="00E31E54" w:rsidP="00932416">
            <w:pPr>
              <w:jc w:val="center"/>
              <w:rPr>
                <w:b/>
                <w:sz w:val="24"/>
              </w:rPr>
            </w:pPr>
            <w:r w:rsidRPr="00E31E54">
              <w:rPr>
                <w:b/>
                <w:sz w:val="24"/>
              </w:rPr>
              <w:t>Vulnerable Group</w:t>
            </w:r>
          </w:p>
        </w:tc>
        <w:tc>
          <w:tcPr>
            <w:tcW w:w="2305" w:type="dxa"/>
            <w:shd w:val="clear" w:color="auto" w:fill="66CCFF"/>
          </w:tcPr>
          <w:p w14:paraId="6BCA416B" w14:textId="77777777" w:rsidR="00BE5641" w:rsidRPr="00E31E54" w:rsidRDefault="00BE5641" w:rsidP="00BE5641">
            <w:pPr>
              <w:jc w:val="center"/>
              <w:rPr>
                <w:b/>
                <w:sz w:val="24"/>
              </w:rPr>
            </w:pPr>
            <w:r w:rsidRPr="00E31E54">
              <w:rPr>
                <w:b/>
                <w:sz w:val="24"/>
              </w:rPr>
              <w:t>Number</w:t>
            </w:r>
          </w:p>
        </w:tc>
        <w:tc>
          <w:tcPr>
            <w:tcW w:w="2244" w:type="dxa"/>
            <w:shd w:val="clear" w:color="auto" w:fill="66CCFF"/>
          </w:tcPr>
          <w:p w14:paraId="493CA014" w14:textId="77777777" w:rsidR="00BE5641" w:rsidRPr="00E31E54" w:rsidRDefault="00BE5641" w:rsidP="00932416">
            <w:pPr>
              <w:jc w:val="center"/>
              <w:rPr>
                <w:b/>
                <w:sz w:val="24"/>
              </w:rPr>
            </w:pPr>
            <w:r w:rsidRPr="00E31E54">
              <w:rPr>
                <w:b/>
                <w:sz w:val="24"/>
              </w:rPr>
              <w:t>Percentage</w:t>
            </w:r>
          </w:p>
        </w:tc>
      </w:tr>
      <w:tr w:rsidR="00BE5641" w14:paraId="4F107751" w14:textId="77777777" w:rsidTr="0047715D">
        <w:trPr>
          <w:trHeight w:val="294"/>
        </w:trPr>
        <w:tc>
          <w:tcPr>
            <w:tcW w:w="5100" w:type="dxa"/>
          </w:tcPr>
          <w:p w14:paraId="6E3DC168" w14:textId="77777777" w:rsidR="00BE5641" w:rsidRPr="00E31E54" w:rsidRDefault="00BE5641" w:rsidP="00932416">
            <w:pPr>
              <w:jc w:val="center"/>
              <w:rPr>
                <w:sz w:val="24"/>
              </w:rPr>
            </w:pPr>
            <w:r w:rsidRPr="00E31E54">
              <w:rPr>
                <w:sz w:val="24"/>
              </w:rPr>
              <w:t>PP pupils</w:t>
            </w:r>
          </w:p>
        </w:tc>
        <w:tc>
          <w:tcPr>
            <w:tcW w:w="2305" w:type="dxa"/>
          </w:tcPr>
          <w:p w14:paraId="5231ABA4" w14:textId="77777777" w:rsidR="00BE5641" w:rsidRPr="00E31E54" w:rsidRDefault="002735DF" w:rsidP="00BE5641">
            <w:pPr>
              <w:jc w:val="center"/>
              <w:rPr>
                <w:sz w:val="24"/>
              </w:rPr>
            </w:pPr>
            <w:r>
              <w:rPr>
                <w:sz w:val="24"/>
              </w:rPr>
              <w:t>6</w:t>
            </w:r>
            <w:r w:rsidR="00BE5641" w:rsidRPr="00E31E54">
              <w:rPr>
                <w:sz w:val="24"/>
              </w:rPr>
              <w:t>9</w:t>
            </w:r>
          </w:p>
        </w:tc>
        <w:tc>
          <w:tcPr>
            <w:tcW w:w="2244" w:type="dxa"/>
          </w:tcPr>
          <w:p w14:paraId="56928BF7" w14:textId="77777777" w:rsidR="00BE5641" w:rsidRPr="00E31E54" w:rsidRDefault="00BE5641" w:rsidP="00BE5641">
            <w:pPr>
              <w:jc w:val="center"/>
              <w:rPr>
                <w:sz w:val="24"/>
              </w:rPr>
            </w:pPr>
            <w:r w:rsidRPr="00E31E54">
              <w:rPr>
                <w:sz w:val="24"/>
              </w:rPr>
              <w:t>23%</w:t>
            </w:r>
          </w:p>
        </w:tc>
      </w:tr>
      <w:tr w:rsidR="00BE5641" w14:paraId="0B7AF6A1" w14:textId="77777777" w:rsidTr="0047715D">
        <w:trPr>
          <w:trHeight w:val="294"/>
        </w:trPr>
        <w:tc>
          <w:tcPr>
            <w:tcW w:w="5100" w:type="dxa"/>
          </w:tcPr>
          <w:p w14:paraId="45BE508B" w14:textId="77777777" w:rsidR="00BE5641" w:rsidRPr="00E31E54" w:rsidRDefault="00BE5641" w:rsidP="00932416">
            <w:pPr>
              <w:jc w:val="center"/>
              <w:rPr>
                <w:sz w:val="24"/>
              </w:rPr>
            </w:pPr>
            <w:r w:rsidRPr="00E31E54">
              <w:rPr>
                <w:sz w:val="24"/>
              </w:rPr>
              <w:t>SEN pupils</w:t>
            </w:r>
          </w:p>
        </w:tc>
        <w:tc>
          <w:tcPr>
            <w:tcW w:w="2305" w:type="dxa"/>
          </w:tcPr>
          <w:p w14:paraId="3124B07A" w14:textId="77777777" w:rsidR="00BE5641" w:rsidRPr="00E31E54" w:rsidRDefault="002735DF" w:rsidP="00932416">
            <w:pPr>
              <w:jc w:val="center"/>
              <w:rPr>
                <w:sz w:val="24"/>
              </w:rPr>
            </w:pPr>
            <w:r>
              <w:rPr>
                <w:sz w:val="24"/>
              </w:rPr>
              <w:t>45</w:t>
            </w:r>
          </w:p>
        </w:tc>
        <w:tc>
          <w:tcPr>
            <w:tcW w:w="2244" w:type="dxa"/>
          </w:tcPr>
          <w:p w14:paraId="6792F2D6" w14:textId="77777777" w:rsidR="00BE5641" w:rsidRPr="00E31E54" w:rsidRDefault="00BE5641" w:rsidP="00932416">
            <w:pPr>
              <w:jc w:val="center"/>
              <w:rPr>
                <w:sz w:val="24"/>
              </w:rPr>
            </w:pPr>
            <w:r w:rsidRPr="00E31E54">
              <w:rPr>
                <w:sz w:val="24"/>
              </w:rPr>
              <w:t>18%</w:t>
            </w:r>
          </w:p>
        </w:tc>
      </w:tr>
      <w:tr w:rsidR="00E31E54" w14:paraId="4BBEA212" w14:textId="77777777" w:rsidTr="0047715D">
        <w:trPr>
          <w:trHeight w:val="294"/>
        </w:trPr>
        <w:tc>
          <w:tcPr>
            <w:tcW w:w="5100" w:type="dxa"/>
          </w:tcPr>
          <w:p w14:paraId="07542DC6" w14:textId="77777777" w:rsidR="00E31E54" w:rsidRPr="00E31E54" w:rsidRDefault="00E31E54" w:rsidP="00932416">
            <w:pPr>
              <w:jc w:val="center"/>
              <w:rPr>
                <w:sz w:val="24"/>
              </w:rPr>
            </w:pPr>
            <w:r w:rsidRPr="00E31E54">
              <w:rPr>
                <w:sz w:val="24"/>
              </w:rPr>
              <w:t>Service</w:t>
            </w:r>
          </w:p>
        </w:tc>
        <w:tc>
          <w:tcPr>
            <w:tcW w:w="2305" w:type="dxa"/>
          </w:tcPr>
          <w:p w14:paraId="436CA9A5" w14:textId="77777777" w:rsidR="00E31E54" w:rsidRPr="00E31E54" w:rsidRDefault="00E31E54" w:rsidP="00932416">
            <w:pPr>
              <w:jc w:val="center"/>
              <w:rPr>
                <w:sz w:val="24"/>
              </w:rPr>
            </w:pPr>
            <w:r w:rsidRPr="00E31E54">
              <w:rPr>
                <w:sz w:val="24"/>
              </w:rPr>
              <w:t>4</w:t>
            </w:r>
          </w:p>
        </w:tc>
        <w:tc>
          <w:tcPr>
            <w:tcW w:w="2244" w:type="dxa"/>
          </w:tcPr>
          <w:p w14:paraId="3AB4F8EE" w14:textId="77777777" w:rsidR="00E31E54" w:rsidRPr="00E31E54" w:rsidRDefault="00E31E54" w:rsidP="00932416">
            <w:pPr>
              <w:jc w:val="center"/>
              <w:rPr>
                <w:sz w:val="24"/>
              </w:rPr>
            </w:pPr>
            <w:r w:rsidRPr="00E31E54">
              <w:rPr>
                <w:sz w:val="24"/>
              </w:rPr>
              <w:t>2%</w:t>
            </w:r>
          </w:p>
        </w:tc>
      </w:tr>
      <w:tr w:rsidR="00BE5641" w14:paraId="0E5B6BB8" w14:textId="77777777" w:rsidTr="0047715D">
        <w:trPr>
          <w:trHeight w:val="294"/>
        </w:trPr>
        <w:tc>
          <w:tcPr>
            <w:tcW w:w="5100" w:type="dxa"/>
          </w:tcPr>
          <w:p w14:paraId="6B5C5DAF" w14:textId="77777777" w:rsidR="00BE5641" w:rsidRPr="00E31E54" w:rsidRDefault="00BE5641" w:rsidP="00BE5641">
            <w:pPr>
              <w:jc w:val="center"/>
              <w:rPr>
                <w:sz w:val="24"/>
              </w:rPr>
            </w:pPr>
            <w:r w:rsidRPr="00E31E54">
              <w:rPr>
                <w:sz w:val="24"/>
              </w:rPr>
              <w:t>PP pupils who are SEN</w:t>
            </w:r>
          </w:p>
        </w:tc>
        <w:tc>
          <w:tcPr>
            <w:tcW w:w="2305" w:type="dxa"/>
          </w:tcPr>
          <w:p w14:paraId="5182F7E9" w14:textId="77777777" w:rsidR="00BE5641" w:rsidRPr="00E31E54" w:rsidRDefault="002735DF" w:rsidP="00932416">
            <w:pPr>
              <w:jc w:val="center"/>
              <w:rPr>
                <w:sz w:val="24"/>
              </w:rPr>
            </w:pPr>
            <w:r>
              <w:rPr>
                <w:sz w:val="24"/>
              </w:rPr>
              <w:t>19</w:t>
            </w:r>
          </w:p>
        </w:tc>
        <w:tc>
          <w:tcPr>
            <w:tcW w:w="2244" w:type="dxa"/>
          </w:tcPr>
          <w:p w14:paraId="286D90DE" w14:textId="77777777" w:rsidR="00BE5641" w:rsidRPr="00E31E54" w:rsidRDefault="002735DF" w:rsidP="00932416">
            <w:pPr>
              <w:jc w:val="center"/>
              <w:rPr>
                <w:sz w:val="24"/>
              </w:rPr>
            </w:pPr>
            <w:r>
              <w:rPr>
                <w:sz w:val="24"/>
              </w:rPr>
              <w:t>28</w:t>
            </w:r>
            <w:r w:rsidR="00BE5641" w:rsidRPr="00E31E54">
              <w:rPr>
                <w:sz w:val="24"/>
              </w:rPr>
              <w:t>%</w:t>
            </w:r>
          </w:p>
        </w:tc>
      </w:tr>
      <w:tr w:rsidR="00BE5641" w14:paraId="734EAD18" w14:textId="77777777" w:rsidTr="0047715D">
        <w:trPr>
          <w:trHeight w:val="310"/>
        </w:trPr>
        <w:tc>
          <w:tcPr>
            <w:tcW w:w="5100" w:type="dxa"/>
          </w:tcPr>
          <w:p w14:paraId="644027DD" w14:textId="77777777" w:rsidR="00BE5641" w:rsidRPr="00E31E54" w:rsidRDefault="00BE5641" w:rsidP="00932416">
            <w:pPr>
              <w:jc w:val="center"/>
              <w:rPr>
                <w:sz w:val="24"/>
              </w:rPr>
            </w:pPr>
            <w:r w:rsidRPr="00E31E54">
              <w:rPr>
                <w:sz w:val="24"/>
              </w:rPr>
              <w:t xml:space="preserve">PP pupils with pastoral / healthcare needs </w:t>
            </w:r>
          </w:p>
        </w:tc>
        <w:tc>
          <w:tcPr>
            <w:tcW w:w="2305" w:type="dxa"/>
          </w:tcPr>
          <w:p w14:paraId="0C464811" w14:textId="77777777" w:rsidR="00BE5641" w:rsidRPr="00E31E54" w:rsidRDefault="002735DF" w:rsidP="00932416">
            <w:pPr>
              <w:jc w:val="center"/>
              <w:rPr>
                <w:sz w:val="24"/>
              </w:rPr>
            </w:pPr>
            <w:r>
              <w:rPr>
                <w:sz w:val="24"/>
              </w:rPr>
              <w:t>18</w:t>
            </w:r>
          </w:p>
        </w:tc>
        <w:tc>
          <w:tcPr>
            <w:tcW w:w="2244" w:type="dxa"/>
          </w:tcPr>
          <w:p w14:paraId="7F477489" w14:textId="77777777" w:rsidR="00BE5641" w:rsidRPr="00E31E54" w:rsidRDefault="002735DF" w:rsidP="00932416">
            <w:pPr>
              <w:jc w:val="center"/>
              <w:rPr>
                <w:sz w:val="24"/>
              </w:rPr>
            </w:pPr>
            <w:r>
              <w:rPr>
                <w:sz w:val="24"/>
              </w:rPr>
              <w:t>26</w:t>
            </w:r>
            <w:r w:rsidR="00BE5641" w:rsidRPr="00E31E54">
              <w:rPr>
                <w:sz w:val="24"/>
              </w:rPr>
              <w:t>%</w:t>
            </w:r>
          </w:p>
        </w:tc>
      </w:tr>
      <w:tr w:rsidR="00BE5641" w14:paraId="16AB8CD1" w14:textId="77777777" w:rsidTr="0047715D">
        <w:trPr>
          <w:trHeight w:val="276"/>
        </w:trPr>
        <w:tc>
          <w:tcPr>
            <w:tcW w:w="5100" w:type="dxa"/>
          </w:tcPr>
          <w:p w14:paraId="2C535F57" w14:textId="77777777" w:rsidR="00BE5641" w:rsidRPr="00E31E54" w:rsidRDefault="00BE5641" w:rsidP="00932416">
            <w:pPr>
              <w:jc w:val="center"/>
              <w:rPr>
                <w:sz w:val="24"/>
              </w:rPr>
            </w:pPr>
            <w:r w:rsidRPr="00E31E54">
              <w:rPr>
                <w:sz w:val="24"/>
              </w:rPr>
              <w:t>Combined figure</w:t>
            </w:r>
          </w:p>
        </w:tc>
        <w:tc>
          <w:tcPr>
            <w:tcW w:w="2305" w:type="dxa"/>
          </w:tcPr>
          <w:p w14:paraId="157D5C8F" w14:textId="77777777" w:rsidR="00BE5641" w:rsidRPr="00E31E54" w:rsidRDefault="002735DF" w:rsidP="00932416">
            <w:pPr>
              <w:jc w:val="center"/>
              <w:rPr>
                <w:sz w:val="24"/>
              </w:rPr>
            </w:pPr>
            <w:r>
              <w:rPr>
                <w:sz w:val="24"/>
              </w:rPr>
              <w:t>37</w:t>
            </w:r>
          </w:p>
        </w:tc>
        <w:tc>
          <w:tcPr>
            <w:tcW w:w="2244" w:type="dxa"/>
          </w:tcPr>
          <w:p w14:paraId="05548629" w14:textId="77777777" w:rsidR="00BE5641" w:rsidRPr="00E31E54" w:rsidRDefault="002735DF" w:rsidP="00932416">
            <w:pPr>
              <w:jc w:val="center"/>
              <w:rPr>
                <w:sz w:val="24"/>
              </w:rPr>
            </w:pPr>
            <w:r>
              <w:rPr>
                <w:sz w:val="24"/>
              </w:rPr>
              <w:t>54</w:t>
            </w:r>
            <w:r w:rsidR="00BE5641" w:rsidRPr="00E31E54">
              <w:rPr>
                <w:sz w:val="24"/>
              </w:rPr>
              <w:t>%</w:t>
            </w:r>
          </w:p>
        </w:tc>
      </w:tr>
    </w:tbl>
    <w:p w14:paraId="4E45F110" w14:textId="77777777" w:rsidR="00932416" w:rsidRPr="001E262D" w:rsidRDefault="001E262D" w:rsidP="001E262D">
      <w:pPr>
        <w:tabs>
          <w:tab w:val="left" w:pos="6450"/>
        </w:tabs>
        <w:rPr>
          <w:b/>
          <w:sz w:val="8"/>
        </w:rPr>
      </w:pPr>
      <w:r>
        <w:rPr>
          <w:b/>
          <w:sz w:val="36"/>
        </w:rPr>
        <w:tab/>
      </w:r>
    </w:p>
    <w:tbl>
      <w:tblPr>
        <w:tblStyle w:val="TableGrid"/>
        <w:tblW w:w="9633" w:type="dxa"/>
        <w:tblLook w:val="04A0" w:firstRow="1" w:lastRow="0" w:firstColumn="1" w:lastColumn="0" w:noHBand="0" w:noVBand="1"/>
      </w:tblPr>
      <w:tblGrid>
        <w:gridCol w:w="5125"/>
        <w:gridCol w:w="4508"/>
      </w:tblGrid>
      <w:tr w:rsidR="0047715D" w14:paraId="42D59524" w14:textId="77777777" w:rsidTr="0047715D">
        <w:trPr>
          <w:trHeight w:val="462"/>
        </w:trPr>
        <w:tc>
          <w:tcPr>
            <w:tcW w:w="5125" w:type="dxa"/>
            <w:shd w:val="clear" w:color="auto" w:fill="66CCFF"/>
          </w:tcPr>
          <w:p w14:paraId="6C3DC30F" w14:textId="77777777" w:rsidR="0047715D" w:rsidRPr="0047715D" w:rsidRDefault="0047715D" w:rsidP="00E31E54">
            <w:pPr>
              <w:jc w:val="center"/>
              <w:rPr>
                <w:rFonts w:eastAsia="Times New Roman" w:cstheme="minorHAnsi"/>
                <w:b/>
                <w:szCs w:val="28"/>
                <w:lang w:eastAsia="en-GB"/>
              </w:rPr>
            </w:pPr>
            <w:r w:rsidRPr="0047715D">
              <w:rPr>
                <w:rFonts w:eastAsia="Times New Roman" w:cstheme="minorHAnsi"/>
                <w:b/>
                <w:szCs w:val="28"/>
                <w:lang w:eastAsia="en-GB"/>
              </w:rPr>
              <w:t xml:space="preserve">In-school barriers </w:t>
            </w:r>
            <w:r w:rsidRPr="0047715D">
              <w:rPr>
                <w:rFonts w:eastAsia="Times New Roman" w:cstheme="minorHAnsi"/>
                <w:i/>
                <w:szCs w:val="28"/>
                <w:lang w:eastAsia="en-GB"/>
              </w:rPr>
              <w:t>(issues to be addressed in school, such as poor oral language skills)</w:t>
            </w:r>
          </w:p>
        </w:tc>
        <w:tc>
          <w:tcPr>
            <w:tcW w:w="4508" w:type="dxa"/>
            <w:shd w:val="clear" w:color="auto" w:fill="66CCFF"/>
          </w:tcPr>
          <w:p w14:paraId="187104E5" w14:textId="77777777" w:rsidR="0047715D" w:rsidRPr="0047715D" w:rsidRDefault="0047715D" w:rsidP="00381DC9">
            <w:pPr>
              <w:jc w:val="center"/>
              <w:rPr>
                <w:rFonts w:eastAsia="Times New Roman" w:cstheme="minorHAnsi"/>
                <w:b/>
                <w:szCs w:val="28"/>
                <w:lang w:eastAsia="en-GB"/>
              </w:rPr>
            </w:pPr>
            <w:r w:rsidRPr="0047715D">
              <w:rPr>
                <w:rFonts w:eastAsia="Times New Roman" w:cstheme="minorHAnsi"/>
                <w:b/>
                <w:szCs w:val="28"/>
                <w:lang w:eastAsia="en-GB"/>
              </w:rPr>
              <w:t xml:space="preserve">External barriers </w:t>
            </w:r>
            <w:r w:rsidRPr="0047715D">
              <w:rPr>
                <w:rFonts w:eastAsia="Times New Roman" w:cstheme="minorHAnsi"/>
                <w:i/>
                <w:szCs w:val="28"/>
                <w:lang w:eastAsia="en-GB"/>
              </w:rPr>
              <w:t>(issues which also require action outside school, such as attendance rates)</w:t>
            </w:r>
          </w:p>
        </w:tc>
      </w:tr>
      <w:tr w:rsidR="0047715D" w14:paraId="48D63BFE" w14:textId="77777777" w:rsidTr="0047715D">
        <w:trPr>
          <w:trHeight w:val="447"/>
        </w:trPr>
        <w:tc>
          <w:tcPr>
            <w:tcW w:w="5125" w:type="dxa"/>
          </w:tcPr>
          <w:p w14:paraId="16C758A7" w14:textId="77777777" w:rsidR="0047715D" w:rsidRPr="0047715D" w:rsidRDefault="0047715D" w:rsidP="0047715D">
            <w:pPr>
              <w:rPr>
                <w:rFonts w:eastAsia="Times New Roman" w:cstheme="minorHAnsi"/>
                <w:szCs w:val="28"/>
                <w:lang w:eastAsia="en-GB"/>
              </w:rPr>
            </w:pPr>
            <w:r w:rsidRPr="0047715D">
              <w:rPr>
                <w:rFonts w:eastAsia="Times New Roman" w:cstheme="minorHAnsi"/>
                <w:szCs w:val="28"/>
                <w:lang w:eastAsia="en-GB"/>
              </w:rPr>
              <w:t>School is situated in an area of deprivation above the National average</w:t>
            </w:r>
            <w:r w:rsidR="007046DB">
              <w:rPr>
                <w:rFonts w:eastAsia="Times New Roman" w:cstheme="minorHAnsi"/>
                <w:szCs w:val="28"/>
                <w:lang w:eastAsia="en-GB"/>
              </w:rPr>
              <w:t>.</w:t>
            </w:r>
          </w:p>
        </w:tc>
        <w:tc>
          <w:tcPr>
            <w:tcW w:w="4508" w:type="dxa"/>
          </w:tcPr>
          <w:p w14:paraId="78A0B896" w14:textId="77777777" w:rsidR="0047715D" w:rsidRPr="0047715D" w:rsidRDefault="0047715D" w:rsidP="0047715D">
            <w:pPr>
              <w:rPr>
                <w:rFonts w:eastAsia="Times New Roman" w:cstheme="minorHAnsi"/>
                <w:szCs w:val="28"/>
                <w:lang w:eastAsia="en-GB"/>
              </w:rPr>
            </w:pPr>
            <w:r w:rsidRPr="0047715D">
              <w:rPr>
                <w:rFonts w:eastAsia="Times New Roman" w:cstheme="minorHAnsi"/>
                <w:szCs w:val="28"/>
                <w:lang w:eastAsia="en-GB"/>
              </w:rPr>
              <w:t>Evidence of poor home learning and some low/persistent absence attendance issues.</w:t>
            </w:r>
          </w:p>
        </w:tc>
      </w:tr>
      <w:tr w:rsidR="0047715D" w14:paraId="4C5AFBA3" w14:textId="77777777" w:rsidTr="0047715D">
        <w:trPr>
          <w:trHeight w:val="462"/>
        </w:trPr>
        <w:tc>
          <w:tcPr>
            <w:tcW w:w="5125" w:type="dxa"/>
          </w:tcPr>
          <w:p w14:paraId="5DC84F85" w14:textId="77777777" w:rsidR="0047715D" w:rsidRPr="0047715D" w:rsidRDefault="0047715D" w:rsidP="0047715D">
            <w:pPr>
              <w:rPr>
                <w:rFonts w:eastAsia="Times New Roman" w:cstheme="minorHAnsi"/>
                <w:szCs w:val="28"/>
                <w:lang w:eastAsia="en-GB"/>
              </w:rPr>
            </w:pPr>
            <w:r w:rsidRPr="0047715D">
              <w:rPr>
                <w:rFonts w:eastAsia="Times New Roman" w:cstheme="minorHAnsi"/>
                <w:szCs w:val="28"/>
                <w:lang w:eastAsia="en-GB"/>
              </w:rPr>
              <w:t>Pupils start school below the age related expectation of more affluent peers.</w:t>
            </w:r>
          </w:p>
        </w:tc>
        <w:tc>
          <w:tcPr>
            <w:tcW w:w="4508" w:type="dxa"/>
          </w:tcPr>
          <w:p w14:paraId="689F8FC2" w14:textId="77777777" w:rsidR="0047715D" w:rsidRPr="0047715D" w:rsidRDefault="0047715D" w:rsidP="0047715D">
            <w:pPr>
              <w:rPr>
                <w:rFonts w:eastAsia="Times New Roman" w:cstheme="minorHAnsi"/>
                <w:noProof/>
                <w:szCs w:val="28"/>
                <w:lang w:eastAsia="en-GB"/>
              </w:rPr>
            </w:pPr>
            <w:r w:rsidRPr="0047715D">
              <w:rPr>
                <w:rFonts w:eastAsia="Times New Roman" w:cstheme="minorHAnsi"/>
                <w:noProof/>
                <w:szCs w:val="28"/>
                <w:lang w:eastAsia="en-GB"/>
              </w:rPr>
              <w:t>Engagement of some families.</w:t>
            </w:r>
          </w:p>
        </w:tc>
      </w:tr>
      <w:tr w:rsidR="0047715D" w14:paraId="0CDC4CD5" w14:textId="77777777" w:rsidTr="00381DC9">
        <w:trPr>
          <w:trHeight w:val="53"/>
        </w:trPr>
        <w:tc>
          <w:tcPr>
            <w:tcW w:w="5125" w:type="dxa"/>
          </w:tcPr>
          <w:p w14:paraId="59748736" w14:textId="77777777" w:rsidR="0047715D" w:rsidRPr="0047715D" w:rsidRDefault="0047715D" w:rsidP="00E31E54">
            <w:pPr>
              <w:rPr>
                <w:rFonts w:eastAsia="Times New Roman" w:cstheme="minorHAnsi"/>
                <w:szCs w:val="28"/>
                <w:lang w:eastAsia="en-GB"/>
              </w:rPr>
            </w:pPr>
            <w:r w:rsidRPr="0047715D">
              <w:rPr>
                <w:rFonts w:eastAsia="Times New Roman" w:cstheme="minorHAnsi"/>
                <w:szCs w:val="28"/>
                <w:lang w:eastAsia="en-GB"/>
              </w:rPr>
              <w:t>Some PP pupils are also identified on our SEN register for a range of academic/social and emotional needs.</w:t>
            </w:r>
          </w:p>
        </w:tc>
        <w:tc>
          <w:tcPr>
            <w:tcW w:w="4508" w:type="dxa"/>
          </w:tcPr>
          <w:p w14:paraId="66740B24" w14:textId="77777777" w:rsidR="0047715D" w:rsidRPr="0047715D" w:rsidRDefault="0047715D" w:rsidP="00E31E54">
            <w:pPr>
              <w:rPr>
                <w:rFonts w:eastAsia="Times New Roman" w:cstheme="minorHAnsi"/>
                <w:szCs w:val="28"/>
                <w:lang w:eastAsia="en-GB"/>
              </w:rPr>
            </w:pPr>
          </w:p>
        </w:tc>
      </w:tr>
    </w:tbl>
    <w:p w14:paraId="7A7C384E" w14:textId="77777777" w:rsidR="00AA364C" w:rsidRDefault="0047715D" w:rsidP="00AA364C">
      <w:pPr>
        <w:rPr>
          <w:rFonts w:cstheme="minorHAnsi"/>
          <w:b/>
          <w:sz w:val="24"/>
          <w:szCs w:val="24"/>
        </w:rPr>
      </w:pPr>
      <w:r>
        <w:rPr>
          <w:noProof/>
          <w:lang w:eastAsia="en-GB"/>
        </w:rPr>
        <w:drawing>
          <wp:anchor distT="0" distB="0" distL="114300" distR="114300" simplePos="0" relativeHeight="251659264" behindDoc="0" locked="0" layoutInCell="1" allowOverlap="1" wp14:anchorId="78602EAE" wp14:editId="1CEBBF9A">
            <wp:simplePos x="0" y="0"/>
            <wp:positionH relativeFrom="column">
              <wp:posOffset>3101026</wp:posOffset>
            </wp:positionH>
            <wp:positionV relativeFrom="paragraph">
              <wp:posOffset>202977</wp:posOffset>
            </wp:positionV>
            <wp:extent cx="3296909" cy="324293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651" t="2704" r="3531" b="1568"/>
                    <a:stretch/>
                  </pic:blipFill>
                  <pic:spPr bwMode="auto">
                    <a:xfrm>
                      <a:off x="0" y="0"/>
                      <a:ext cx="3317718" cy="32633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88F9A2" w14:textId="77777777" w:rsidR="00F82DCD" w:rsidRDefault="00F82DCD" w:rsidP="00AA364C">
      <w:pPr>
        <w:rPr>
          <w:rFonts w:cstheme="minorHAnsi"/>
          <w:b/>
          <w:sz w:val="24"/>
          <w:szCs w:val="24"/>
        </w:rPr>
      </w:pPr>
      <w:r>
        <w:rPr>
          <w:rFonts w:cstheme="minorHAnsi"/>
          <w:b/>
          <w:sz w:val="24"/>
          <w:szCs w:val="24"/>
        </w:rPr>
        <w:t>Whole-school approach to supporting pupils</w:t>
      </w:r>
    </w:p>
    <w:p w14:paraId="43DD618A" w14:textId="77777777" w:rsidR="001E489B" w:rsidRDefault="00052102" w:rsidP="00F74197">
      <w:pPr>
        <w:rPr>
          <w:rFonts w:cstheme="minorHAnsi"/>
          <w:sz w:val="24"/>
          <w:szCs w:val="24"/>
        </w:rPr>
      </w:pPr>
      <w:r>
        <w:rPr>
          <w:rFonts w:cstheme="minorHAnsi"/>
          <w:sz w:val="24"/>
          <w:szCs w:val="24"/>
        </w:rPr>
        <w:t>In the Education Endowment Foundation’s Guide to Pupil Premium they have identified that:</w:t>
      </w:r>
    </w:p>
    <w:p w14:paraId="1EF3D2FC" w14:textId="77777777" w:rsidR="00052102" w:rsidRDefault="00052102" w:rsidP="00F74197">
      <w:pPr>
        <w:rPr>
          <w:rFonts w:cstheme="minorHAnsi"/>
          <w:b/>
          <w:i/>
          <w:color w:val="002060"/>
          <w:sz w:val="24"/>
          <w:szCs w:val="24"/>
        </w:rPr>
      </w:pPr>
      <w:r w:rsidRPr="00052102">
        <w:rPr>
          <w:rFonts w:cstheme="minorHAnsi"/>
          <w:b/>
          <w:i/>
          <w:color w:val="002060"/>
          <w:sz w:val="24"/>
          <w:szCs w:val="24"/>
        </w:rPr>
        <w:t>Good teaching is the most important lever schools have to improve outcomes for disadvantaged pupils.</w:t>
      </w:r>
    </w:p>
    <w:p w14:paraId="0AF1DDF3" w14:textId="64062E97" w:rsidR="00052102" w:rsidRPr="00052102" w:rsidRDefault="00052102" w:rsidP="00F74197">
      <w:pPr>
        <w:rPr>
          <w:rFonts w:cstheme="minorHAnsi"/>
          <w:sz w:val="24"/>
          <w:szCs w:val="24"/>
        </w:rPr>
      </w:pPr>
      <w:r>
        <w:rPr>
          <w:rFonts w:cstheme="minorHAnsi"/>
          <w:sz w:val="24"/>
          <w:szCs w:val="24"/>
        </w:rPr>
        <w:t xml:space="preserve">At </w:t>
      </w:r>
      <w:r w:rsidR="0006200F">
        <w:rPr>
          <w:rFonts w:cstheme="minorHAnsi"/>
          <w:sz w:val="24"/>
          <w:szCs w:val="24"/>
        </w:rPr>
        <w:t>***</w:t>
      </w:r>
      <w:bookmarkStart w:id="0" w:name="_GoBack"/>
      <w:bookmarkEnd w:id="0"/>
      <w:r>
        <w:rPr>
          <w:rFonts w:cstheme="minorHAnsi"/>
          <w:sz w:val="24"/>
          <w:szCs w:val="24"/>
        </w:rPr>
        <w:t xml:space="preserve"> Primary School</w:t>
      </w:r>
      <w:r w:rsidR="00381DC9">
        <w:rPr>
          <w:rFonts w:cstheme="minorHAnsi"/>
          <w:sz w:val="24"/>
          <w:szCs w:val="24"/>
        </w:rPr>
        <w:t>,</w:t>
      </w:r>
      <w:r>
        <w:rPr>
          <w:rFonts w:cstheme="minorHAnsi"/>
          <w:sz w:val="24"/>
          <w:szCs w:val="24"/>
        </w:rPr>
        <w:t xml:space="preserve"> our tiered approach shows the new emphasis on the importance of teaching (1). Targeted academic support (interventions – 2) and wider strate</w:t>
      </w:r>
      <w:r w:rsidR="0047715D">
        <w:rPr>
          <w:rFonts w:cstheme="minorHAnsi"/>
          <w:sz w:val="24"/>
          <w:szCs w:val="24"/>
        </w:rPr>
        <w:t>gies (3) are still important and these are evident in</w:t>
      </w:r>
      <w:r w:rsidR="00381DC9">
        <w:rPr>
          <w:rFonts w:cstheme="minorHAnsi"/>
          <w:sz w:val="24"/>
          <w:szCs w:val="24"/>
        </w:rPr>
        <w:t xml:space="preserve"> places such as</w:t>
      </w:r>
      <w:r w:rsidR="0047715D">
        <w:rPr>
          <w:rFonts w:cstheme="minorHAnsi"/>
          <w:sz w:val="24"/>
          <w:szCs w:val="24"/>
        </w:rPr>
        <w:t xml:space="preserve"> the Pupil Premium Strategy, Provision Maps and SEN Learning Passports.</w:t>
      </w:r>
    </w:p>
    <w:p w14:paraId="7BDC62EE" w14:textId="77777777" w:rsidR="00F82DCD" w:rsidRDefault="00381DC9" w:rsidP="00AA364C">
      <w:pPr>
        <w:rPr>
          <w:rFonts w:cstheme="minorHAnsi"/>
          <w:b/>
          <w:sz w:val="24"/>
          <w:szCs w:val="24"/>
        </w:rPr>
      </w:pPr>
      <w:r>
        <w:rPr>
          <w:b/>
          <w:noProof/>
          <w:sz w:val="36"/>
          <w:lang w:eastAsia="en-GB"/>
        </w:rPr>
        <w:lastRenderedPageBreak/>
        <mc:AlternateContent>
          <mc:Choice Requires="wps">
            <w:drawing>
              <wp:anchor distT="0" distB="0" distL="114300" distR="114300" simplePos="0" relativeHeight="251658751" behindDoc="1" locked="0" layoutInCell="1" allowOverlap="1" wp14:anchorId="33E8DB7C" wp14:editId="0739048F">
                <wp:simplePos x="0" y="0"/>
                <wp:positionH relativeFrom="column">
                  <wp:posOffset>-430619</wp:posOffset>
                </wp:positionH>
                <wp:positionV relativeFrom="paragraph">
                  <wp:posOffset>-637953</wp:posOffset>
                </wp:positionV>
                <wp:extent cx="7016573" cy="10153473"/>
                <wp:effectExtent l="19050" t="19050" r="32385" b="38735"/>
                <wp:wrapNone/>
                <wp:docPr id="5" name="Rectangle 5"/>
                <wp:cNvGraphicFramePr/>
                <a:graphic xmlns:a="http://schemas.openxmlformats.org/drawingml/2006/main">
                  <a:graphicData uri="http://schemas.microsoft.com/office/word/2010/wordprocessingShape">
                    <wps:wsp>
                      <wps:cNvSpPr/>
                      <wps:spPr>
                        <a:xfrm>
                          <a:off x="0" y="0"/>
                          <a:ext cx="7016573" cy="10153473"/>
                        </a:xfrm>
                        <a:prstGeom prst="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592DE" id="Rectangle 5" o:spid="_x0000_s1026" style="position:absolute;margin-left:-33.9pt;margin-top:-50.25pt;width:552.5pt;height:799.5pt;z-index:-2516577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" filled="f" strokecolor="#0070c0" strokeweight="4.5pt"/>
            </w:pict>
          </mc:Fallback>
        </mc:AlternateContent>
      </w:r>
      <w:r w:rsidR="00F82DCD">
        <w:rPr>
          <w:rFonts w:cstheme="minorHAnsi"/>
          <w:b/>
          <w:sz w:val="24"/>
          <w:szCs w:val="24"/>
        </w:rPr>
        <w:t xml:space="preserve">How do we know </w:t>
      </w:r>
      <w:r w:rsidR="009E05D8">
        <w:rPr>
          <w:rFonts w:cstheme="minorHAnsi"/>
          <w:b/>
          <w:sz w:val="24"/>
          <w:szCs w:val="24"/>
        </w:rPr>
        <w:t xml:space="preserve">that Pupil Premium and SEN children are making progress in Maths </w:t>
      </w:r>
      <w:r w:rsidR="007046DB">
        <w:rPr>
          <w:rFonts w:cstheme="minorHAnsi"/>
          <w:b/>
          <w:sz w:val="24"/>
          <w:szCs w:val="24"/>
        </w:rPr>
        <w:t>&amp;</w:t>
      </w:r>
      <w:r w:rsidR="009E05D8">
        <w:rPr>
          <w:rFonts w:cstheme="minorHAnsi"/>
          <w:b/>
          <w:sz w:val="24"/>
          <w:szCs w:val="24"/>
        </w:rPr>
        <w:t xml:space="preserve"> English? </w:t>
      </w:r>
    </w:p>
    <w:p w14:paraId="50CC3261" w14:textId="77777777" w:rsidR="009E05D8" w:rsidRPr="009E05D8" w:rsidRDefault="00F74197" w:rsidP="00AA364C">
      <w:pPr>
        <w:rPr>
          <w:rFonts w:cstheme="minorHAnsi"/>
          <w:sz w:val="24"/>
          <w:szCs w:val="24"/>
        </w:rPr>
      </w:pPr>
      <w:r>
        <w:rPr>
          <w:rFonts w:cstheme="minorHAnsi"/>
          <w:sz w:val="24"/>
          <w:szCs w:val="24"/>
        </w:rPr>
        <w:t xml:space="preserve">Pre-teaching is highly recommended as a way of exposing disadvantaged pupils to new concepts prior to being in taught in class. This also ensures that these groups of children are better equipped and more resilient in lessons. Feedback is also important in ensuring that pupils know what they must do next and includes: </w:t>
      </w:r>
      <w:r w:rsidR="009E05D8">
        <w:rPr>
          <w:rFonts w:cstheme="minorHAnsi"/>
          <w:sz w:val="24"/>
          <w:szCs w:val="24"/>
        </w:rPr>
        <w:t xml:space="preserve">verbal feedback, written feedback and instant feedback (live marking). Following on from feedback, we are targeting children who need fluid intervention to support their cognition and learning on a regular basis. </w:t>
      </w:r>
      <w:r w:rsidR="007046DB">
        <w:rPr>
          <w:rFonts w:cstheme="minorHAnsi"/>
          <w:sz w:val="24"/>
          <w:szCs w:val="24"/>
        </w:rPr>
        <w:t xml:space="preserve">In an ideal world, no pupil would leave the school without having had the support to make the progress needed. </w:t>
      </w:r>
      <w:r w:rsidR="009E05D8">
        <w:rPr>
          <w:rFonts w:cstheme="minorHAnsi"/>
          <w:sz w:val="24"/>
          <w:szCs w:val="24"/>
        </w:rPr>
        <w:t xml:space="preserve">Through discussion with PP and SEN pupils, we aim to evaluate the range of feedback given to establish which type of feedback provides the best level of support and ensures </w:t>
      </w:r>
      <w:r w:rsidR="001E489B">
        <w:rPr>
          <w:rFonts w:cstheme="minorHAnsi"/>
          <w:sz w:val="24"/>
          <w:szCs w:val="24"/>
        </w:rPr>
        <w:t xml:space="preserve">greatest progress. </w:t>
      </w:r>
    </w:p>
    <w:p w14:paraId="44B59F0F" w14:textId="77777777" w:rsidR="00F82DCD" w:rsidRDefault="001E489B" w:rsidP="00A064E0">
      <w:pPr>
        <w:jc w:val="center"/>
        <w:rPr>
          <w:rFonts w:cstheme="minorHAnsi"/>
          <w:b/>
          <w:sz w:val="24"/>
          <w:szCs w:val="24"/>
        </w:rPr>
      </w:pPr>
      <w:r>
        <w:rPr>
          <w:noProof/>
          <w:lang w:eastAsia="en-GB"/>
        </w:rPr>
        <w:drawing>
          <wp:inline distT="0" distB="0" distL="0" distR="0" wp14:anchorId="6C28752B" wp14:editId="6723D41A">
            <wp:extent cx="6021070" cy="41360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562" t="2219" r="1629" b="1801"/>
                    <a:stretch/>
                  </pic:blipFill>
                  <pic:spPr bwMode="auto">
                    <a:xfrm>
                      <a:off x="0" y="0"/>
                      <a:ext cx="6048068" cy="4154611"/>
                    </a:xfrm>
                    <a:prstGeom prst="rect">
                      <a:avLst/>
                    </a:prstGeom>
                    <a:ln>
                      <a:noFill/>
                    </a:ln>
                    <a:extLst>
                      <a:ext uri="{53640926-AAD7-44D8-BBD7-CCE9431645EC}">
                        <a14:shadowObscured xmlns:a14="http://schemas.microsoft.com/office/drawing/2010/main"/>
                      </a:ext>
                    </a:extLst>
                  </pic:spPr>
                </pic:pic>
              </a:graphicData>
            </a:graphic>
          </wp:inline>
        </w:drawing>
      </w:r>
    </w:p>
    <w:p w14:paraId="06A3EAE7" w14:textId="77777777" w:rsidR="009E05D8" w:rsidRDefault="009E05D8" w:rsidP="00AA364C">
      <w:pPr>
        <w:rPr>
          <w:rFonts w:cstheme="minorHAnsi"/>
          <w:b/>
          <w:sz w:val="24"/>
          <w:szCs w:val="24"/>
        </w:rPr>
      </w:pPr>
      <w:r>
        <w:rPr>
          <w:rFonts w:cstheme="minorHAnsi"/>
          <w:b/>
          <w:sz w:val="24"/>
          <w:szCs w:val="24"/>
        </w:rPr>
        <w:t>Pupil interviews and book looks: Wednesday 12</w:t>
      </w:r>
      <w:r w:rsidRPr="009E05D8">
        <w:rPr>
          <w:rFonts w:cstheme="minorHAnsi"/>
          <w:b/>
          <w:sz w:val="24"/>
          <w:szCs w:val="24"/>
          <w:vertAlign w:val="superscript"/>
        </w:rPr>
        <w:t>th</w:t>
      </w:r>
      <w:r>
        <w:rPr>
          <w:rFonts w:cstheme="minorHAnsi"/>
          <w:b/>
          <w:sz w:val="24"/>
          <w:szCs w:val="24"/>
        </w:rPr>
        <w:t xml:space="preserve"> February 2020</w:t>
      </w:r>
    </w:p>
    <w:p w14:paraId="59775B56" w14:textId="77777777" w:rsidR="00D50DE0" w:rsidRDefault="009E05D8" w:rsidP="00AA364C">
      <w:pPr>
        <w:rPr>
          <w:rFonts w:cstheme="minorHAnsi"/>
          <w:sz w:val="24"/>
          <w:szCs w:val="24"/>
        </w:rPr>
      </w:pPr>
      <w:r>
        <w:rPr>
          <w:rFonts w:cstheme="minorHAnsi"/>
          <w:sz w:val="24"/>
          <w:szCs w:val="24"/>
        </w:rPr>
        <w:t xml:space="preserve">We will be talking to </w:t>
      </w:r>
      <w:r w:rsidR="00A064E0">
        <w:rPr>
          <w:rFonts w:cstheme="minorHAnsi"/>
          <w:sz w:val="24"/>
          <w:szCs w:val="24"/>
        </w:rPr>
        <w:t>a large proportion of</w:t>
      </w:r>
      <w:r>
        <w:rPr>
          <w:rFonts w:cstheme="minorHAnsi"/>
          <w:sz w:val="24"/>
          <w:szCs w:val="24"/>
        </w:rPr>
        <w:t xml:space="preserve"> Pupil Prem</w:t>
      </w:r>
      <w:r w:rsidR="00A064E0">
        <w:rPr>
          <w:rFonts w:cstheme="minorHAnsi"/>
          <w:sz w:val="24"/>
          <w:szCs w:val="24"/>
        </w:rPr>
        <w:t>ium and SEN children during the day</w:t>
      </w:r>
      <w:r>
        <w:rPr>
          <w:rFonts w:cstheme="minorHAnsi"/>
          <w:sz w:val="24"/>
          <w:szCs w:val="24"/>
        </w:rPr>
        <w:t xml:space="preserve">. They will </w:t>
      </w:r>
      <w:r w:rsidR="00A064E0">
        <w:rPr>
          <w:rFonts w:cstheme="minorHAnsi"/>
          <w:sz w:val="24"/>
          <w:szCs w:val="24"/>
        </w:rPr>
        <w:t xml:space="preserve">need to bring their Maths book, </w:t>
      </w:r>
      <w:r>
        <w:rPr>
          <w:rFonts w:cstheme="minorHAnsi"/>
          <w:sz w:val="24"/>
          <w:szCs w:val="24"/>
        </w:rPr>
        <w:t>English</w:t>
      </w:r>
      <w:r w:rsidR="00A064E0">
        <w:rPr>
          <w:rFonts w:cstheme="minorHAnsi"/>
          <w:sz w:val="24"/>
          <w:szCs w:val="24"/>
        </w:rPr>
        <w:t xml:space="preserve"> book</w:t>
      </w:r>
      <w:r>
        <w:rPr>
          <w:rFonts w:cstheme="minorHAnsi"/>
          <w:sz w:val="24"/>
          <w:szCs w:val="24"/>
        </w:rPr>
        <w:t xml:space="preserve"> </w:t>
      </w:r>
      <w:r w:rsidR="00A064E0">
        <w:rPr>
          <w:rFonts w:cstheme="minorHAnsi"/>
          <w:sz w:val="24"/>
          <w:szCs w:val="24"/>
        </w:rPr>
        <w:t xml:space="preserve">and most recent theme folder. SEN Learning Passports should be brought </w:t>
      </w:r>
      <w:r>
        <w:rPr>
          <w:rFonts w:cstheme="minorHAnsi"/>
          <w:sz w:val="24"/>
          <w:szCs w:val="24"/>
        </w:rPr>
        <w:t xml:space="preserve">if your phase agreed that Learning Passports are to be included within </w:t>
      </w:r>
      <w:r w:rsidR="00A064E0">
        <w:rPr>
          <w:rFonts w:cstheme="minorHAnsi"/>
          <w:sz w:val="24"/>
          <w:szCs w:val="24"/>
        </w:rPr>
        <w:t>these</w:t>
      </w:r>
      <w:r>
        <w:rPr>
          <w:rFonts w:cstheme="minorHAnsi"/>
          <w:sz w:val="24"/>
          <w:szCs w:val="24"/>
        </w:rPr>
        <w:t xml:space="preserve"> books</w:t>
      </w:r>
      <w:r w:rsidR="00A064E0">
        <w:rPr>
          <w:rFonts w:cstheme="minorHAnsi"/>
          <w:sz w:val="24"/>
          <w:szCs w:val="24"/>
        </w:rPr>
        <w:t>.</w:t>
      </w:r>
      <w:r>
        <w:rPr>
          <w:rFonts w:cstheme="minorHAnsi"/>
          <w:sz w:val="24"/>
          <w:szCs w:val="24"/>
        </w:rPr>
        <w:t xml:space="preserve"> </w:t>
      </w:r>
      <w:r w:rsidR="00D50DE0">
        <w:rPr>
          <w:rFonts w:cstheme="minorHAnsi"/>
          <w:sz w:val="24"/>
          <w:szCs w:val="24"/>
        </w:rPr>
        <w:t xml:space="preserve">The pupils will be asked a range of questions linked to </w:t>
      </w:r>
      <w:r w:rsidR="00A064E0">
        <w:rPr>
          <w:rFonts w:cstheme="minorHAnsi"/>
          <w:sz w:val="24"/>
          <w:szCs w:val="24"/>
        </w:rPr>
        <w:t>our foci</w:t>
      </w:r>
      <w:r w:rsidR="00D50DE0">
        <w:rPr>
          <w:rFonts w:cstheme="minorHAnsi"/>
          <w:sz w:val="24"/>
          <w:szCs w:val="24"/>
        </w:rPr>
        <w:t>:</w:t>
      </w:r>
    </w:p>
    <w:p w14:paraId="52F7CDA7" w14:textId="77777777" w:rsidR="00A064E0" w:rsidRDefault="00D50DE0">
      <w:pPr>
        <w:rPr>
          <w:rFonts w:cstheme="minorHAnsi"/>
          <w:sz w:val="24"/>
          <w:szCs w:val="24"/>
        </w:rPr>
      </w:pPr>
      <w:r>
        <w:rPr>
          <w:rFonts w:cstheme="minorHAnsi"/>
          <w:sz w:val="24"/>
          <w:szCs w:val="24"/>
        </w:rPr>
        <w:t xml:space="preserve">Focus 1: </w:t>
      </w:r>
      <w:r w:rsidR="00A064E0">
        <w:rPr>
          <w:rFonts w:cstheme="minorHAnsi"/>
          <w:sz w:val="24"/>
          <w:szCs w:val="24"/>
        </w:rPr>
        <w:t>Compare support given in Maths and English in comparison to Foundation subjects.</w:t>
      </w:r>
    </w:p>
    <w:p w14:paraId="07997097" w14:textId="77777777" w:rsidR="00A064E0" w:rsidRDefault="00A064E0">
      <w:pPr>
        <w:rPr>
          <w:rFonts w:cstheme="minorHAnsi"/>
          <w:sz w:val="24"/>
          <w:szCs w:val="24"/>
        </w:rPr>
      </w:pPr>
      <w:r>
        <w:rPr>
          <w:rFonts w:cstheme="minorHAnsi"/>
          <w:sz w:val="24"/>
          <w:szCs w:val="24"/>
        </w:rPr>
        <w:t xml:space="preserve">Focus 2: </w:t>
      </w:r>
      <w:r w:rsidR="00D50DE0">
        <w:rPr>
          <w:rFonts w:cstheme="minorHAnsi"/>
          <w:sz w:val="24"/>
          <w:szCs w:val="24"/>
        </w:rPr>
        <w:t>Ascertain the</w:t>
      </w:r>
      <w:r w:rsidR="00052102">
        <w:rPr>
          <w:rFonts w:cstheme="minorHAnsi"/>
          <w:sz w:val="24"/>
          <w:szCs w:val="24"/>
        </w:rPr>
        <w:t xml:space="preserve"> impact of</w:t>
      </w:r>
      <w:r w:rsidR="00D50DE0">
        <w:rPr>
          <w:rFonts w:cstheme="minorHAnsi"/>
          <w:sz w:val="24"/>
          <w:szCs w:val="24"/>
        </w:rPr>
        <w:t xml:space="preserve"> support given including</w:t>
      </w:r>
      <w:r w:rsidR="00052102">
        <w:rPr>
          <w:rFonts w:cstheme="minorHAnsi"/>
          <w:sz w:val="24"/>
          <w:szCs w:val="24"/>
        </w:rPr>
        <w:t>:</w:t>
      </w:r>
      <w:r w:rsidR="00D50DE0">
        <w:rPr>
          <w:rFonts w:cstheme="minorHAnsi"/>
          <w:sz w:val="24"/>
          <w:szCs w:val="24"/>
        </w:rPr>
        <w:t xml:space="preserve"> pre-learning, support during teaching and post-learning fluid intervention.</w:t>
      </w:r>
    </w:p>
    <w:p w14:paraId="2480FA11" w14:textId="77777777" w:rsidR="00AA364C" w:rsidRPr="00E31E54" w:rsidRDefault="00A064E0">
      <w:pPr>
        <w:rPr>
          <w:rFonts w:cstheme="minorHAnsi"/>
          <w:sz w:val="24"/>
          <w:szCs w:val="24"/>
        </w:rPr>
      </w:pPr>
      <w:r>
        <w:rPr>
          <w:rFonts w:cstheme="minorHAnsi"/>
          <w:sz w:val="24"/>
          <w:szCs w:val="24"/>
        </w:rPr>
        <w:t>Focus 3</w:t>
      </w:r>
      <w:r w:rsidR="00D50DE0">
        <w:rPr>
          <w:rFonts w:cstheme="minorHAnsi"/>
          <w:sz w:val="24"/>
          <w:szCs w:val="24"/>
        </w:rPr>
        <w:t xml:space="preserve">: </w:t>
      </w:r>
      <w:r>
        <w:rPr>
          <w:rFonts w:cstheme="minorHAnsi"/>
          <w:sz w:val="24"/>
          <w:szCs w:val="24"/>
        </w:rPr>
        <w:t>How</w:t>
      </w:r>
      <w:r w:rsidR="00052102">
        <w:rPr>
          <w:rFonts w:cstheme="minorHAnsi"/>
          <w:sz w:val="24"/>
          <w:szCs w:val="24"/>
        </w:rPr>
        <w:t xml:space="preserve"> feedback </w:t>
      </w:r>
      <w:r>
        <w:rPr>
          <w:rFonts w:cstheme="minorHAnsi"/>
          <w:sz w:val="24"/>
          <w:szCs w:val="24"/>
        </w:rPr>
        <w:t>given has addressed any misconceptions and allowed pupils to achieve the Learning Objective.</w:t>
      </w:r>
    </w:p>
    <w:sectPr w:rsidR="00AA364C" w:rsidRPr="00E31E54" w:rsidSect="0047715D">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A150C"/>
    <w:multiLevelType w:val="hybridMultilevel"/>
    <w:tmpl w:val="3DEE546E"/>
    <w:lvl w:ilvl="0" w:tplc="ABB6E6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341"/>
    <w:rsid w:val="00052102"/>
    <w:rsid w:val="0006200F"/>
    <w:rsid w:val="001E262D"/>
    <w:rsid w:val="001E489B"/>
    <w:rsid w:val="002735DF"/>
    <w:rsid w:val="00281DC7"/>
    <w:rsid w:val="00381DC9"/>
    <w:rsid w:val="0047715D"/>
    <w:rsid w:val="0047727D"/>
    <w:rsid w:val="00500A9A"/>
    <w:rsid w:val="00571018"/>
    <w:rsid w:val="00662BD1"/>
    <w:rsid w:val="006A7D93"/>
    <w:rsid w:val="007046DB"/>
    <w:rsid w:val="00720C2B"/>
    <w:rsid w:val="00762E09"/>
    <w:rsid w:val="00846A5C"/>
    <w:rsid w:val="0091453C"/>
    <w:rsid w:val="00932416"/>
    <w:rsid w:val="009A1CDA"/>
    <w:rsid w:val="009E05D8"/>
    <w:rsid w:val="00A064E0"/>
    <w:rsid w:val="00AA364C"/>
    <w:rsid w:val="00B1568B"/>
    <w:rsid w:val="00BE5641"/>
    <w:rsid w:val="00BF5465"/>
    <w:rsid w:val="00C94F07"/>
    <w:rsid w:val="00D50DE0"/>
    <w:rsid w:val="00E31E54"/>
    <w:rsid w:val="00E63A46"/>
    <w:rsid w:val="00EC4878"/>
    <w:rsid w:val="00F74197"/>
    <w:rsid w:val="00F82DCD"/>
    <w:rsid w:val="00FA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77F4"/>
  <w15:chartTrackingRefBased/>
  <w15:docId w15:val="{746D8B1C-93DB-4A3D-BB31-6CE38D7D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341"/>
    <w:pPr>
      <w:ind w:left="720"/>
      <w:contextualSpacing/>
    </w:pPr>
  </w:style>
  <w:style w:type="table" w:styleId="TableGrid">
    <w:name w:val="Table Grid"/>
    <w:basedOn w:val="TableNormal"/>
    <w:uiPriority w:val="39"/>
    <w:rsid w:val="00BE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4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D87EC14F41244399968915D7D467AF" ma:contentTypeVersion="13" ma:contentTypeDescription="Create a new document." ma:contentTypeScope="" ma:versionID="4e8a8580ab4dc0299b88e545d85d8366">
  <xsd:schema xmlns:xsd="http://www.w3.org/2001/XMLSchema" xmlns:xs="http://www.w3.org/2001/XMLSchema" xmlns:p="http://schemas.microsoft.com/office/2006/metadata/properties" xmlns:ns2="http://schemas.microsoft.com/sharepoint/v3/fields" xmlns:ns3="badc411d-1f18-474a-a215-bc16fd99020a" xmlns:ns4="61f19e67-fa44-47ae-ad89-33c0c4aec481" targetNamespace="http://schemas.microsoft.com/office/2006/metadata/properties" ma:root="true" ma:fieldsID="2ce0d59ef57672edda5a4ca5706a3738" ns2:_="" ns3:_="" ns4:_="">
    <xsd:import namespace="http://schemas.microsoft.com/sharepoint/v3/fields"/>
    <xsd:import namespace="badc411d-1f18-474a-a215-bc16fd99020a"/>
    <xsd:import namespace="61f19e67-fa44-47ae-ad89-33c0c4aec481"/>
    <xsd:element name="properties">
      <xsd:complexType>
        <xsd:sequence>
          <xsd:element name="documentManagement">
            <xsd:complexType>
              <xsd:all>
                <xsd:element ref="ns2:_Vers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dc411d-1f18-474a-a215-bc16fd99020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MediaServiceAutoTags" ma:internalName="MediaServiceAutoTags"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Location" ma:index="10"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19e67-fa44-47ae-ad89-33c0c4aec4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A53845-34B9-4685-92F8-5D4D18AE2440}">
  <ds:schemaRefs>
    <ds:schemaRef ds:uri="http://schemas.microsoft.com/office/2006/metadata/properties"/>
    <ds:schemaRef ds:uri="badc411d-1f18-474a-a215-bc16fd99020a"/>
    <ds:schemaRef ds:uri="http://purl.org/dc/terms/"/>
    <ds:schemaRef ds:uri="http://schemas.openxmlformats.org/package/2006/metadata/core-properties"/>
    <ds:schemaRef ds:uri="http://schemas.microsoft.com/office/2006/documentManagement/types"/>
    <ds:schemaRef ds:uri="http://purl.org/dc/dcmitype/"/>
    <ds:schemaRef ds:uri="61f19e67-fa44-47ae-ad89-33c0c4aec481"/>
    <ds:schemaRef ds:uri="http://purl.org/dc/elements/1.1/"/>
    <ds:schemaRef ds:uri="http://schemas.microsoft.com/office/infopath/2007/PartnerControl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5305BF99-8F7B-4EE4-BD31-F20B67C4E8AB}">
  <ds:schemaRefs>
    <ds:schemaRef ds:uri="http://schemas.microsoft.com/sharepoint/v3/contenttype/forms"/>
  </ds:schemaRefs>
</ds:datastoreItem>
</file>

<file path=customXml/itemProps3.xml><?xml version="1.0" encoding="utf-8"?>
<ds:datastoreItem xmlns:ds="http://schemas.openxmlformats.org/officeDocument/2006/customXml" ds:itemID="{110B48C9-B7E4-46AE-AE5E-0D1D6932E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badc411d-1f18-474a-a215-bc16fd99020a"/>
    <ds:schemaRef ds:uri="61f19e67-fa44-47ae-ad89-33c0c4aec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McCann</dc:creator>
  <cp:keywords/>
  <dc:description/>
  <cp:lastModifiedBy>Emma Lintin</cp:lastModifiedBy>
  <cp:revision>2</cp:revision>
  <cp:lastPrinted>2020-01-29T14:59:00Z</cp:lastPrinted>
  <dcterms:created xsi:type="dcterms:W3CDTF">2020-02-21T11:50:00Z</dcterms:created>
  <dcterms:modified xsi:type="dcterms:W3CDTF">2020-02-21T11:50:00Z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0x0101006AD87EC14F41244399968915D7D467AF</vt:lpwstr>
  </property>
</Properties>
</file>