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33F" w:rsidRDefault="00CD689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7020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Learning Support Department</w:t>
      </w:r>
    </w:p>
    <w:p w:rsidR="00EC633F" w:rsidRDefault="00CD689B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Confidential Assessment Summary</w:t>
      </w:r>
    </w:p>
    <w:p w:rsidR="00EC633F" w:rsidRDefault="00EC633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8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5"/>
        <w:gridCol w:w="3111"/>
        <w:gridCol w:w="2741"/>
        <w:gridCol w:w="1257"/>
        <w:gridCol w:w="928"/>
      </w:tblGrid>
      <w:tr w:rsidR="00EC633F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Student name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33F" w:rsidRDefault="00EC6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Gender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F" w:rsidRDefault="00EC6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633F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33F" w:rsidRDefault="00EC6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Assessment date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F" w:rsidRDefault="00EC6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633F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Reason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Admission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Chronological Age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F" w:rsidRDefault="00EC6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EC633F" w:rsidRDefault="00EC633F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852" w:type="dxa"/>
        <w:tblLayout w:type="fixed"/>
        <w:tblLook w:val="0000" w:firstRow="0" w:lastRow="0" w:firstColumn="0" w:lastColumn="0" w:noHBand="0" w:noVBand="0"/>
      </w:tblPr>
      <w:tblGrid>
        <w:gridCol w:w="1891"/>
        <w:gridCol w:w="1137"/>
        <w:gridCol w:w="1141"/>
        <w:gridCol w:w="1109"/>
        <w:gridCol w:w="28"/>
        <w:gridCol w:w="1139"/>
        <w:gridCol w:w="1131"/>
        <w:gridCol w:w="6"/>
        <w:gridCol w:w="1119"/>
        <w:gridCol w:w="18"/>
        <w:gridCol w:w="1133"/>
      </w:tblGrid>
      <w:tr w:rsidR="00EC633F"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F" w:rsidRDefault="00CD689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Background Information: </w:t>
            </w: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C633F">
        <w:trPr>
          <w:trHeight w:val="498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F" w:rsidRDefault="00CD689B" w:rsidP="002D0561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Tests chosen: Standardised Assessments </w:t>
            </w:r>
          </w:p>
          <w:p w:rsidR="00EC633F" w:rsidRDefault="00CD689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Lucid Exact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(Reading, Comprehension, Comprehension Speed, Spelling)</w:t>
            </w:r>
          </w:p>
          <w:p w:rsidR="00EC633F" w:rsidRDefault="00CD689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CTOPP-2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(processing speed composite)</w:t>
            </w:r>
          </w:p>
          <w:p w:rsidR="00EC633F" w:rsidRDefault="00CD689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TOMAL-2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(Memory and attention composite)</w:t>
            </w:r>
          </w:p>
          <w:p w:rsidR="00EC633F" w:rsidRDefault="002D0561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WRAT5</w:t>
            </w:r>
            <w:r w:rsidR="00CD689B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(Maths)</w:t>
            </w:r>
          </w:p>
          <w:p w:rsidR="002D0561" w:rsidRDefault="002D0561" w:rsidP="002D0561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WIAT-III-UKT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(Reading, Comprehension, Comprehension Speed, Spelling)</w:t>
            </w:r>
          </w:p>
          <w:p w:rsidR="002D0561" w:rsidRPr="002D0561" w:rsidRDefault="002D0561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D056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CDI -2 </w:t>
            </w:r>
            <w:r w:rsidRPr="002D0561">
              <w:rPr>
                <w:rFonts w:ascii="Arial" w:eastAsia="Arial" w:hAnsi="Arial" w:cs="Arial"/>
                <w:color w:val="FF0000"/>
                <w:sz w:val="22"/>
                <w:szCs w:val="22"/>
              </w:rPr>
              <w:t>(Mood)</w:t>
            </w:r>
          </w:p>
          <w:p w:rsidR="00EC633F" w:rsidRPr="002D0561" w:rsidRDefault="002D0561" w:rsidP="002D0561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D0561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RCMAS-2 </w:t>
            </w:r>
            <w:r w:rsidRPr="002D0561">
              <w:rPr>
                <w:rFonts w:ascii="Arial" w:eastAsia="Arial" w:hAnsi="Arial" w:cs="Arial"/>
                <w:color w:val="FF0000"/>
                <w:sz w:val="22"/>
                <w:szCs w:val="22"/>
              </w:rPr>
              <w:t>(Anxiety)</w:t>
            </w:r>
          </w:p>
        </w:tc>
      </w:tr>
      <w:tr w:rsidR="00EC633F">
        <w:trPr>
          <w:trHeight w:val="690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F" w:rsidRDefault="00CD689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Observation/</w:t>
            </w:r>
            <w:r w:rsidR="002D0561">
              <w:rPr>
                <w:rFonts w:ascii="Arial" w:eastAsia="Arial" w:hAnsi="Arial" w:cs="Arial"/>
                <w:b/>
                <w:sz w:val="22"/>
                <w:szCs w:val="22"/>
              </w:rPr>
              <w:t xml:space="preserve"> Round Robin/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how the student responded to the assessment: </w:t>
            </w:r>
          </w:p>
          <w:p w:rsidR="00EC633F" w:rsidRDefault="00CD689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EC633F">
        <w:trPr>
          <w:trHeight w:val="225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F" w:rsidRDefault="00CD689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Results:</w:t>
            </w:r>
          </w:p>
          <w:p w:rsidR="00EC633F" w:rsidRDefault="00CD689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  <w:highlight w:val="yellow"/>
              </w:rPr>
              <w:t>Standardised scores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are derived in such a way that the ages of the pupils are taken into account by comparing a pupil only with others of the same age (in years and months). Most children’s scores fall in the 90-110 range (average). </w:t>
            </w: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1"/>
              <w:tblW w:w="5657" w:type="dxa"/>
              <w:tblInd w:w="198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0"/>
              <w:gridCol w:w="3567"/>
            </w:tblGrid>
            <w:tr w:rsidR="00EC633F">
              <w:trPr>
                <w:trHeight w:val="203"/>
              </w:trPr>
              <w:tc>
                <w:tcPr>
                  <w:tcW w:w="2090" w:type="dxa"/>
                  <w:vAlign w:val="center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FF0000"/>
                      <w:sz w:val="16"/>
                      <w:szCs w:val="16"/>
                    </w:rPr>
                    <w:t>69 and Below</w:t>
                  </w:r>
                </w:p>
              </w:tc>
              <w:tc>
                <w:tcPr>
                  <w:tcW w:w="3567" w:type="dxa"/>
                  <w:vAlign w:val="center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FF0000"/>
                      <w:sz w:val="16"/>
                      <w:szCs w:val="16"/>
                    </w:rPr>
                    <w:t>Very Low</w:t>
                  </w:r>
                </w:p>
              </w:tc>
            </w:tr>
            <w:tr w:rsidR="00EC633F">
              <w:trPr>
                <w:trHeight w:val="132"/>
              </w:trPr>
              <w:tc>
                <w:tcPr>
                  <w:tcW w:w="2090" w:type="dxa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  <w:t>70 - 79</w:t>
                  </w:r>
                </w:p>
              </w:tc>
              <w:tc>
                <w:tcPr>
                  <w:tcW w:w="3567" w:type="dxa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  <w:t>Low</w:t>
                  </w:r>
                </w:p>
              </w:tc>
            </w:tr>
            <w:tr w:rsidR="00EC633F">
              <w:trPr>
                <w:trHeight w:val="182"/>
              </w:trPr>
              <w:tc>
                <w:tcPr>
                  <w:tcW w:w="2090" w:type="dxa"/>
                  <w:vAlign w:val="center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  <w:t>80 - 84</w:t>
                  </w:r>
                </w:p>
              </w:tc>
              <w:tc>
                <w:tcPr>
                  <w:tcW w:w="3567" w:type="dxa"/>
                  <w:vAlign w:val="center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  <w:t>Below Average</w:t>
                  </w:r>
                </w:p>
              </w:tc>
            </w:tr>
            <w:tr w:rsidR="00EC633F">
              <w:trPr>
                <w:trHeight w:val="156"/>
              </w:trPr>
              <w:tc>
                <w:tcPr>
                  <w:tcW w:w="2090" w:type="dxa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  <w:t>85 - 89</w:t>
                  </w:r>
                </w:p>
              </w:tc>
              <w:tc>
                <w:tcPr>
                  <w:tcW w:w="3567" w:type="dxa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  <w:t>Low Average</w:t>
                  </w:r>
                </w:p>
              </w:tc>
            </w:tr>
            <w:tr w:rsidR="00EC633F">
              <w:trPr>
                <w:trHeight w:val="155"/>
              </w:trPr>
              <w:tc>
                <w:tcPr>
                  <w:tcW w:w="2090" w:type="dxa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  <w:t>90 - 109</w:t>
                  </w:r>
                </w:p>
              </w:tc>
              <w:tc>
                <w:tcPr>
                  <w:tcW w:w="3567" w:type="dxa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  <w:t>Average (Middle 50% of population)</w:t>
                  </w:r>
                </w:p>
              </w:tc>
            </w:tr>
            <w:tr w:rsidR="00EC633F">
              <w:trPr>
                <w:trHeight w:val="155"/>
              </w:trPr>
              <w:tc>
                <w:tcPr>
                  <w:tcW w:w="2090" w:type="dxa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  <w:t>110 - 114</w:t>
                  </w:r>
                </w:p>
              </w:tc>
              <w:tc>
                <w:tcPr>
                  <w:tcW w:w="3567" w:type="dxa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  <w:t>High average</w:t>
                  </w:r>
                </w:p>
              </w:tc>
            </w:tr>
            <w:tr w:rsidR="00EC633F">
              <w:trPr>
                <w:trHeight w:val="155"/>
              </w:trPr>
              <w:tc>
                <w:tcPr>
                  <w:tcW w:w="2090" w:type="dxa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  <w:t>115 - 120</w:t>
                  </w:r>
                </w:p>
              </w:tc>
              <w:tc>
                <w:tcPr>
                  <w:tcW w:w="3567" w:type="dxa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  <w:t>Above Average</w:t>
                  </w:r>
                </w:p>
              </w:tc>
            </w:tr>
            <w:tr w:rsidR="00EC633F">
              <w:trPr>
                <w:trHeight w:val="160"/>
              </w:trPr>
              <w:tc>
                <w:tcPr>
                  <w:tcW w:w="2090" w:type="dxa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  <w:t>120 - 129</w:t>
                  </w:r>
                </w:p>
              </w:tc>
              <w:tc>
                <w:tcPr>
                  <w:tcW w:w="3567" w:type="dxa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000000"/>
                      <w:sz w:val="16"/>
                      <w:szCs w:val="16"/>
                    </w:rPr>
                    <w:t>Superior</w:t>
                  </w:r>
                </w:p>
              </w:tc>
            </w:tr>
            <w:tr w:rsidR="00EC633F">
              <w:trPr>
                <w:trHeight w:val="168"/>
              </w:trPr>
              <w:tc>
                <w:tcPr>
                  <w:tcW w:w="2090" w:type="dxa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FF0000"/>
                      <w:sz w:val="16"/>
                      <w:szCs w:val="16"/>
                    </w:rPr>
                    <w:t>130 and Above</w:t>
                  </w:r>
                </w:p>
              </w:tc>
              <w:tc>
                <w:tcPr>
                  <w:tcW w:w="3567" w:type="dxa"/>
                </w:tcPr>
                <w:p w:rsidR="00EC633F" w:rsidRDefault="00CD68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Helvetica Neue" w:eastAsia="Helvetica Neue" w:hAnsi="Helvetica Neue" w:cs="Helvetica Neue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Helvetica Neue" w:eastAsia="Helvetica Neue" w:hAnsi="Helvetica Neue" w:cs="Helvetica Neue"/>
                      <w:color w:val="FF0000"/>
                      <w:sz w:val="16"/>
                      <w:szCs w:val="16"/>
                    </w:rPr>
                    <w:t>Very Superior</w:t>
                  </w:r>
                </w:p>
              </w:tc>
            </w:tr>
          </w:tbl>
          <w:p w:rsidR="00EC633F" w:rsidRDefault="00EC633F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EC633F" w:rsidRDefault="00CD689B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see attached for a diagram which illustrates the above information.</w:t>
            </w: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C633F">
        <w:trPr>
          <w:trHeight w:val="22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C633F" w:rsidRDefault="00EC63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2"/>
              <w:tblW w:w="1676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6"/>
            </w:tblGrid>
            <w:tr w:rsidR="00EC633F">
              <w:trPr>
                <w:trHeight w:val="311"/>
              </w:trPr>
              <w:tc>
                <w:tcPr>
                  <w:tcW w:w="1676" w:type="dxa"/>
                </w:tcPr>
                <w:p w:rsidR="00EC633F" w:rsidRDefault="00CD689B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Standard Deviation = </w:t>
                  </w:r>
                </w:p>
              </w:tc>
            </w:tr>
          </w:tbl>
          <w:p w:rsidR="00EC633F" w:rsidRDefault="00EC633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- 3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- 2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-1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0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+1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+2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+3 </w:t>
            </w:r>
          </w:p>
        </w:tc>
      </w:tr>
      <w:tr w:rsidR="00EC633F">
        <w:trPr>
          <w:trHeight w:val="22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Standard scores </w:t>
            </w:r>
          </w:p>
          <w:p w:rsidR="00EC633F" w:rsidRDefault="00EC633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33F" w:rsidRDefault="00CD689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33F" w:rsidRDefault="00CD689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70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CD689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85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CD689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CD689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114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33F" w:rsidRDefault="00CD689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115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33F" w:rsidRDefault="00CD689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130</w:t>
            </w:r>
          </w:p>
        </w:tc>
      </w:tr>
      <w:tr w:rsidR="00EC633F">
        <w:trPr>
          <w:trHeight w:val="22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Attainment Tests</w:t>
            </w:r>
          </w:p>
          <w:p w:rsidR="00EC633F" w:rsidRDefault="00EC6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33F" w:rsidRDefault="00CD689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Well below average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33F" w:rsidRDefault="00CD689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Below average </w:t>
            </w:r>
          </w:p>
        </w:tc>
        <w:tc>
          <w:tcPr>
            <w:tcW w:w="3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CD689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Average range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33F" w:rsidRDefault="00CD689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Above average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C633F" w:rsidRDefault="00CD689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Well above average </w:t>
            </w:r>
          </w:p>
        </w:tc>
      </w:tr>
      <w:tr w:rsidR="00EC633F">
        <w:trPr>
          <w:trHeight w:val="22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Lucid Exact: Reading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EC633F">
        <w:trPr>
          <w:trHeight w:val="27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Lucid Exact: Comprehension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EC633F">
        <w:trPr>
          <w:trHeight w:val="27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Lucid Exact: Comprehension Speed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EC633F">
        <w:trPr>
          <w:trHeight w:val="27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Lucid Exact: Spelling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EC633F">
        <w:trPr>
          <w:trHeight w:val="27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EC633F" w:rsidRDefault="002D056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WRAT5</w:t>
            </w:r>
            <w:r w:rsidR="00CD689B">
              <w:rPr>
                <w:rFonts w:ascii="Arial" w:eastAsia="Arial" w:hAnsi="Arial" w:cs="Arial"/>
                <w:b/>
              </w:rPr>
              <w:t>: Maths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EC633F">
        <w:trPr>
          <w:trHeight w:val="27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BPVS: assesses a child's receptive (English) vocabulary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2D0561" w:rsidTr="002D0561">
        <w:trPr>
          <w:trHeight w:val="27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EC633F" w:rsidRDefault="00CD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Memory and Processing Skill </w:t>
            </w:r>
          </w:p>
          <w:p w:rsidR="00EC633F" w:rsidRDefault="00EC633F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EC633F">
        <w:trPr>
          <w:trHeight w:val="27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CTOPP-2 (processing speed composite)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EC633F">
        <w:trPr>
          <w:trHeight w:val="27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TOMAL-2: </w:t>
            </w:r>
          </w:p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ADHD/ Concentration Composite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C633F" w:rsidRDefault="00EC633F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C633F" w:rsidRDefault="00EC633F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highlight w:val="yellow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EC633F" w:rsidTr="002D0561">
        <w:trPr>
          <w:trHeight w:val="27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Cognitive Skills (CATs)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EC633F">
        <w:trPr>
          <w:trHeight w:val="27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Verbal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EC633F">
        <w:trPr>
          <w:trHeight w:val="27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Visual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EC633F">
        <w:trPr>
          <w:trHeight w:val="275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Quantitative (Maths)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highlight w:val="yellow"/>
              </w:rPr>
            </w:pPr>
          </w:p>
        </w:tc>
      </w:tr>
      <w:tr w:rsidR="00EC633F">
        <w:trPr>
          <w:trHeight w:val="975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F" w:rsidRDefault="00EC63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33F" w:rsidRDefault="00CD689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Interpretation of results:</w:t>
            </w: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33F" w:rsidRDefault="00CD689B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Standardised scores that </w:t>
            </w:r>
            <w:r>
              <w:rPr>
                <w:rFonts w:ascii="Arial" w:eastAsia="Arial" w:hAnsi="Arial" w:cs="Arial"/>
                <w:b/>
                <w:i/>
                <w:color w:val="FF0000"/>
                <w:sz w:val="18"/>
                <w:szCs w:val="18"/>
              </w:rPr>
              <w:t>hover at, or below 85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(2 standard deviations) is deemed an area of weakness and thus would need an intervention. An individual would also meet the Exam Qualification Committee’s criteria for exam acce</w:t>
            </w: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ss arrangements (JCQ).</w:t>
            </w: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33F" w:rsidRDefault="00CD689B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Verbal reasoning</w:t>
            </w:r>
            <w:r>
              <w:rPr>
                <w:rFonts w:ascii="Arial" w:eastAsia="Arial" w:hAnsi="Arial" w:cs="Arial"/>
                <w:sz w:val="18"/>
                <w:szCs w:val="18"/>
              </w:rPr>
              <w:t>: Verbal reasoning is the ability to comprehend and reason using concepts expressed through words.</w:t>
            </w: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33F" w:rsidRDefault="00CD689B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Visual reasoning: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spatial reasoning is a category of reasoning skills that refers to the capacity to think about objects in three dimensions and to draw conclusions about those objects from limited information.</w:t>
            </w: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C633F" w:rsidRDefault="00CD689B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Quantitate reasoning: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quantitative reasoning (QR) is the appl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ication of basic mathematics skills, such as algebra, to the analysis and interpretation of real-world problems. </w:t>
            </w: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33F" w:rsidRDefault="00EC633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C633F">
        <w:trPr>
          <w:trHeight w:val="975"/>
        </w:trPr>
        <w:tc>
          <w:tcPr>
            <w:tcW w:w="985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F" w:rsidRDefault="00CD689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Assessment Summary:</w:t>
            </w:r>
          </w:p>
          <w:p w:rsidR="00EC633F" w:rsidRDefault="00CD689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EC633F">
        <w:trPr>
          <w:trHeight w:val="1375"/>
        </w:trPr>
        <w:tc>
          <w:tcPr>
            <w:tcW w:w="985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3F" w:rsidRDefault="00CD689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Intervention recommendations/actions:</w:t>
            </w: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33F" w:rsidRDefault="00CD689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33F" w:rsidRDefault="00CD689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Recommendations: </w:t>
            </w:r>
          </w:p>
          <w:p w:rsidR="00EC633F" w:rsidRDefault="00CD689B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</w:p>
          <w:p w:rsidR="00EC633F" w:rsidRDefault="00EC633F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EC633F" w:rsidRDefault="00CD689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Finally, it was a pleasure to meet ……… and I thank ….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….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family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for their time. </w:t>
            </w:r>
          </w:p>
        </w:tc>
      </w:tr>
    </w:tbl>
    <w:p w:rsidR="00EC633F" w:rsidRDefault="00EC633F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1269"/>
        <w:gridCol w:w="1557"/>
        <w:gridCol w:w="2220"/>
        <w:gridCol w:w="2743"/>
      </w:tblGrid>
      <w:tr w:rsidR="00EC633F">
        <w:tc>
          <w:tcPr>
            <w:tcW w:w="3369" w:type="dxa"/>
            <w:gridSpan w:val="2"/>
            <w:shd w:val="clear" w:color="auto" w:fill="E6E6E6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Assessment completed by:</w:t>
            </w:r>
          </w:p>
        </w:tc>
        <w:tc>
          <w:tcPr>
            <w:tcW w:w="6520" w:type="dxa"/>
            <w:gridSpan w:val="3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Dominic Proctor </w:t>
            </w:r>
          </w:p>
        </w:tc>
      </w:tr>
      <w:tr w:rsidR="00EC633F">
        <w:tc>
          <w:tcPr>
            <w:tcW w:w="3369" w:type="dxa"/>
            <w:gridSpan w:val="2"/>
            <w:shd w:val="clear" w:color="auto" w:fill="E6E6E6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Designation:</w:t>
            </w:r>
          </w:p>
        </w:tc>
        <w:tc>
          <w:tcPr>
            <w:tcW w:w="6520" w:type="dxa"/>
            <w:gridSpan w:val="3"/>
          </w:tcPr>
          <w:p w:rsidR="00EC633F" w:rsidRDefault="00EC633F" w:rsidP="002D0561">
            <w:pPr>
              <w:ind w:leftChars="0" w:left="0" w:firstLineChars="0" w:firstLine="0"/>
              <w:rPr>
                <w:rFonts w:ascii="Arial" w:eastAsia="Arial" w:hAnsi="Arial" w:cs="Arial"/>
              </w:rPr>
            </w:pPr>
          </w:p>
        </w:tc>
      </w:tr>
      <w:tr w:rsidR="00EC633F">
        <w:tc>
          <w:tcPr>
            <w:tcW w:w="3369" w:type="dxa"/>
            <w:gridSpan w:val="2"/>
            <w:shd w:val="clear" w:color="auto" w:fill="E6E6E6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Qualifications</w:t>
            </w:r>
          </w:p>
        </w:tc>
        <w:tc>
          <w:tcPr>
            <w:tcW w:w="6520" w:type="dxa"/>
            <w:gridSpan w:val="3"/>
          </w:tcPr>
          <w:p w:rsidR="00EC633F" w:rsidRDefault="00EC633F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EC633F">
        <w:tc>
          <w:tcPr>
            <w:tcW w:w="2100" w:type="dxa"/>
            <w:shd w:val="clear" w:color="auto" w:fill="E6E6E6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Date: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09/02/17</w:t>
            </w:r>
          </w:p>
        </w:tc>
        <w:tc>
          <w:tcPr>
            <w:tcW w:w="2220" w:type="dxa"/>
            <w:shd w:val="clear" w:color="auto" w:fill="E6E6E6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Signature:</w:t>
            </w:r>
          </w:p>
        </w:tc>
        <w:tc>
          <w:tcPr>
            <w:tcW w:w="2743" w:type="dxa"/>
          </w:tcPr>
          <w:p w:rsidR="00EC633F" w:rsidRDefault="00CD689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Proctor </w:t>
            </w:r>
          </w:p>
        </w:tc>
      </w:tr>
    </w:tbl>
    <w:p w:rsidR="00EC633F" w:rsidRDefault="00EC633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C633F" w:rsidRDefault="00EC633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C633F" w:rsidRDefault="00EC633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EC633F" w:rsidRDefault="00CD689B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en-GB" w:bidi="th-TH"/>
        </w:rPr>
        <w:drawing>
          <wp:inline distT="0" distB="0" distL="114300" distR="114300">
            <wp:extent cx="5470525" cy="3552825"/>
            <wp:effectExtent l="0" t="0" r="0" b="0"/>
            <wp:docPr id="10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0525" cy="355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633F" w:rsidRDefault="00CD689B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en-GB" w:bidi="th-TH"/>
        </w:rPr>
        <w:drawing>
          <wp:inline distT="0" distB="0" distL="114300" distR="114300">
            <wp:extent cx="4073525" cy="2581910"/>
            <wp:effectExtent l="0" t="0" r="0" b="0"/>
            <wp:docPr id="10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2581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C633F" w:rsidRDefault="00EC633F">
      <w:pPr>
        <w:ind w:left="0" w:hanging="2"/>
        <w:jc w:val="center"/>
      </w:pPr>
    </w:p>
    <w:p w:rsidR="00EC633F" w:rsidRDefault="00CD689B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en-GB" w:bidi="th-TH"/>
        </w:rPr>
        <w:lastRenderedPageBreak/>
        <w:drawing>
          <wp:inline distT="0" distB="0" distL="114300" distR="114300">
            <wp:extent cx="5554345" cy="2391410"/>
            <wp:effectExtent l="0" t="0" r="0" b="0"/>
            <wp:docPr id="10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239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C63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1418" w:right="1134" w:bottom="1134" w:left="1134" w:header="709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9B" w:rsidRDefault="00CD689B">
      <w:pPr>
        <w:spacing w:line="240" w:lineRule="auto"/>
        <w:ind w:left="0" w:hanging="2"/>
      </w:pPr>
      <w:r>
        <w:separator/>
      </w:r>
    </w:p>
  </w:endnote>
  <w:endnote w:type="continuationSeparator" w:id="0">
    <w:p w:rsidR="00CD689B" w:rsidRDefault="00CD689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BMYY+Helvetic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61" w:rsidRDefault="002D0561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3F" w:rsidRDefault="00CD689B">
    <w:pPr>
      <w:ind w:left="0" w:hanging="2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i/>
        <w:sz w:val="16"/>
        <w:szCs w:val="16"/>
      </w:rPr>
      <w:t>A copy of this report will be stored securely in the student’s main confidential school file and electronically in a secure area of the school intranet. Results will be shared with relevant members of staff and family only</w:t>
    </w:r>
    <w:r w:rsidR="002D0561">
      <w:rPr>
        <w:rFonts w:ascii="Arial" w:eastAsia="Arial" w:hAnsi="Arial" w:cs="Arial"/>
        <w:i/>
        <w:sz w:val="16"/>
        <w:szCs w:val="16"/>
      </w:rPr>
      <w:t xml:space="preserve"> with permission</w:t>
    </w:r>
    <w:r>
      <w:rPr>
        <w:rFonts w:ascii="Arial" w:eastAsia="Arial" w:hAnsi="Arial" w:cs="Arial"/>
        <w:i/>
        <w:sz w:val="16"/>
        <w:szCs w:val="16"/>
      </w:rPr>
      <w:t xml:space="preserve">. </w:t>
    </w:r>
    <w:r>
      <w:rPr>
        <w:rFonts w:ascii="Arial" w:eastAsia="Arial" w:hAnsi="Arial" w:cs="Arial"/>
        <w:i/>
        <w:sz w:val="16"/>
        <w:szCs w:val="16"/>
      </w:rPr>
      <w:t>This report will be held on file</w:t>
    </w:r>
    <w:r>
      <w:rPr>
        <w:rFonts w:ascii="Arial" w:eastAsia="Arial" w:hAnsi="Arial" w:cs="Arial"/>
        <w:i/>
        <w:sz w:val="16"/>
        <w:szCs w:val="16"/>
      </w:rPr>
      <w:t xml:space="preserve"> in the LS department’s secure</w:t>
    </w:r>
    <w:r w:rsidR="002D0561">
      <w:rPr>
        <w:rFonts w:ascii="Arial" w:eastAsia="Arial" w:hAnsi="Arial" w:cs="Arial"/>
        <w:i/>
        <w:sz w:val="16"/>
        <w:szCs w:val="16"/>
      </w:rPr>
      <w:t xml:space="preserve"> storage until the subject is </w:t>
    </w:r>
    <w:bookmarkStart w:id="0" w:name="_GoBack"/>
    <w:bookmarkEnd w:id="0"/>
    <w:r w:rsidR="002D0561">
      <w:rPr>
        <w:rFonts w:ascii="Arial" w:eastAsia="Arial" w:hAnsi="Arial" w:cs="Arial"/>
        <w:i/>
        <w:sz w:val="16"/>
        <w:szCs w:val="16"/>
      </w:rPr>
      <w:t>36</w:t>
    </w:r>
    <w:r>
      <w:rPr>
        <w:rFonts w:ascii="Arial" w:eastAsia="Arial" w:hAnsi="Arial" w:cs="Arial"/>
        <w:i/>
        <w:sz w:val="16"/>
        <w:szCs w:val="16"/>
      </w:rPr>
      <w:t xml:space="preserve"> years old. Access will only be given to authorised persons.</w:t>
    </w:r>
  </w:p>
  <w:p w:rsidR="00EC633F" w:rsidRDefault="00EC63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61" w:rsidRDefault="002D0561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9B" w:rsidRDefault="00CD689B">
      <w:pPr>
        <w:spacing w:line="240" w:lineRule="auto"/>
        <w:ind w:left="0" w:hanging="2"/>
      </w:pPr>
      <w:r>
        <w:separator/>
      </w:r>
    </w:p>
  </w:footnote>
  <w:footnote w:type="continuationSeparator" w:id="0">
    <w:p w:rsidR="00CD689B" w:rsidRDefault="00CD689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61" w:rsidRDefault="002D0561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61" w:rsidRDefault="002D0561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61" w:rsidRDefault="002D0561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90696"/>
    <w:multiLevelType w:val="multilevel"/>
    <w:tmpl w:val="D63E860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3F"/>
    <w:rsid w:val="002D0561"/>
    <w:rsid w:val="00CD689B"/>
    <w:rsid w:val="00E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1D1F6DB-0C0E-4839-AE3C-EC98C972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uppressAutoHyphens w:val="0"/>
    </w:pPr>
    <w:rPr>
      <w:rFonts w:ascii="Arial" w:hAnsi="Arial" w:cs="Arial"/>
      <w:sz w:val="24"/>
      <w:szCs w:val="24"/>
      <w:lang w:eastAsia="ar-SA"/>
    </w:rPr>
  </w:style>
  <w:style w:type="paragraph" w:styleId="BodyText">
    <w:name w:val="Body Text"/>
    <w:basedOn w:val="Normal"/>
    <w:pPr>
      <w:suppressAutoHyphens w:val="0"/>
    </w:pPr>
    <w:rPr>
      <w:rFonts w:ascii="Arial" w:hAnsi="Arial"/>
      <w:sz w:val="22"/>
      <w:lang w:eastAsia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black1">
    <w:name w:val="maintext_black1"/>
    <w:rPr>
      <w:rFonts w:ascii="Arial" w:hAnsi="Arial" w:cs="Arial" w:hint="default"/>
      <w:color w:val="333333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POBMYY+Helvetica" w:eastAsia="Calibri" w:hAnsi="POBMYY+Helvetica" w:cs="POBMYY+Helvetica"/>
      <w:color w:val="000000"/>
      <w:position w:val="-1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kzOgNIJJYtmb1qMRtdGhjgxLA==">AMUW2mXngnQA43Ry2lg3oPlrVAZRdDbnOIys+eyivHrcN+3/4jmfbkZT49yzqEybn4WvQ5sU20wZzoVYy1IZX/U+Xq3E+SrT8Zn7sfgbZI9vukp9yo58AHg=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Dominic Proctor</cp:lastModifiedBy>
  <cp:revision>2</cp:revision>
  <dcterms:created xsi:type="dcterms:W3CDTF">2021-04-10T09:18:00Z</dcterms:created>
  <dcterms:modified xsi:type="dcterms:W3CDTF">2021-04-10T09:18:00Z</dcterms:modified>
</cp:coreProperties>
</file>