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AC3AC0" w:rsidP="193CED4B" w:rsidRDefault="00AC3AC0" w14:paraId="0743CF27" wp14:textId="77777777" wp14:noSpellErr="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Planning</w:t>
      </w:r>
    </w:p>
    <w:p w:rsidR="193CED4B" w:rsidP="193CED4B" w:rsidRDefault="193CED4B" w14:paraId="78180FA8" w14:textId="158CD395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22D8F102" wp14:textId="2BDCB4AA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bookmarkStart w:name="_GoBack" w:id="0"/>
      <w:bookmarkEnd w:id="0"/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When </w:t>
      </w:r>
      <w:r w:rsidRPr="193CED4B" w:rsidR="6DBEF21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planning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our schemes of work</w:t>
      </w:r>
      <w:r w:rsidRPr="193CED4B" w:rsidR="0E6C7F7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,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we ensure there are links to styles, artists and instruments which are relevant to our learners.</w:t>
      </w:r>
      <w:r w:rsidRPr="193CED4B" w:rsidR="34566A9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34566A93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Building on existing schemas of knowledge</w:t>
      </w:r>
    </w:p>
    <w:p w:rsidR="193CED4B" w:rsidP="193CED4B" w:rsidRDefault="193CED4B" w14:paraId="7FAE40CA" w14:textId="6DF9516C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</w:pPr>
    </w:p>
    <w:p xmlns:wp14="http://schemas.microsoft.com/office/word/2010/wordml" w:rsidR="00AC3AC0" w:rsidP="193CED4B" w:rsidRDefault="00AC3AC0" w14:paraId="01DB8D05" wp14:textId="61DECD88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When planning </w:t>
      </w:r>
      <w:r w:rsidRPr="193CED4B" w:rsidR="0ABC1EB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lessons,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we use </w:t>
      </w:r>
      <w:r w:rsidRPr="193CED4B" w:rsidR="562E30B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pupil passports and </w:t>
      </w:r>
      <w:r w:rsidRPr="193CED4B" w:rsidR="562E30B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IEP</w:t>
      </w:r>
      <w:r w:rsidRPr="193CED4B" w:rsidR="562E30B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documents 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to ensure our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pupils</w:t>
      </w:r>
      <w:r w:rsidRPr="193CED4B" w:rsidR="09E25B1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individuals needs are </w:t>
      </w:r>
      <w:r w:rsidRPr="193CED4B" w:rsidR="5A4C85A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known about 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and correct </w:t>
      </w:r>
      <w:r w:rsidRPr="193CED4B" w:rsidR="36C8687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strategies/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resources are </w:t>
      </w:r>
      <w:r w:rsidRPr="193CED4B" w:rsidR="437E9FA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us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ed.</w:t>
      </w:r>
      <w:r w:rsidRPr="193CED4B" w:rsidR="47B7F3C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59BB10ED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Knowing your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pupils</w:t>
      </w:r>
      <w:r w:rsidRPr="193CED4B" w:rsidR="59BB10ED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 and agreed provisions</w:t>
      </w:r>
    </w:p>
    <w:p w:rsidR="193CED4B" w:rsidP="193CED4B" w:rsidRDefault="193CED4B" w14:paraId="6EB22859" w14:textId="1189363D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70147AFD" wp14:textId="61B05CB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During department and link meetings we discuss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pupils</w:t>
      </w:r>
      <w:r w:rsidRPr="193CED4B" w:rsidR="08D0200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with 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SEND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and respond to their needs effectively.</w:t>
      </w:r>
      <w:r w:rsidRPr="193CED4B" w:rsidR="412AF64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797EA917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Checking </w:t>
      </w:r>
      <w:r w:rsidRPr="193CED4B" w:rsidR="412AF644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SEND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pupils</w:t>
      </w:r>
      <w:r w:rsidRPr="193CED4B" w:rsidR="412AF644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 </w:t>
      </w:r>
      <w:r w:rsidRPr="193CED4B" w:rsidR="28878591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are </w:t>
      </w:r>
      <w:r w:rsidRPr="193CED4B" w:rsidR="412AF644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making progress</w:t>
      </w:r>
      <w:r w:rsidRPr="193CED4B" w:rsidR="26B5DAD7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, if not we must</w:t>
      </w:r>
      <w:r w:rsidRPr="193CED4B" w:rsidR="412AF644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 make reasonable adjustments to their experience based on data we hold</w:t>
      </w:r>
    </w:p>
    <w:p w:rsidR="193CED4B" w:rsidP="193CED4B" w:rsidRDefault="193CED4B" w14:paraId="4A7A8FAA" w14:textId="63B27B6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672A6659" wp14:textId="77777777" wp14:noSpellErr="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29EE7A43" wp14:textId="77777777" wp14:noSpellErr="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Before each lesson</w:t>
      </w:r>
    </w:p>
    <w:p w:rsidR="193CED4B" w:rsidP="193CED4B" w:rsidRDefault="193CED4B" w14:paraId="14DCEEFD" w14:textId="61E6AFFB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7EEFE634" wp14:textId="7F4817A6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We regularly </w:t>
      </w:r>
      <w:r w:rsidRPr="193CED4B" w:rsidR="7F4F09B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check </w:t>
      </w:r>
      <w:r w:rsidRPr="193CED4B" w:rsidR="31D3A27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class charts 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to check for changes to individual needs and refresh our memories of required strategies.</w:t>
      </w:r>
      <w:r w:rsidRPr="193CED4B" w:rsidR="0C8689E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0C8689E7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Knowing your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pupils</w:t>
      </w:r>
      <w:r w:rsidRPr="193CED4B" w:rsidR="0C8689E7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 and agreed provisions, changes are regular.</w:t>
      </w:r>
    </w:p>
    <w:p w:rsidR="193CED4B" w:rsidP="193CED4B" w:rsidRDefault="193CED4B" w14:paraId="0BCFF1BC" w14:textId="5651C845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488CB672" wp14:textId="2BF5F307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Within the classroom we have a set seating plan </w:t>
      </w:r>
      <w:r w:rsidRPr="193CED4B" w:rsidR="1A7C572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or 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group plan to enable us to easily identify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pupils</w:t>
      </w:r>
      <w:r w:rsidRPr="193CED4B" w:rsidR="65F0663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with SEND.</w:t>
      </w:r>
      <w:r w:rsidRPr="193CED4B" w:rsidR="54D587C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078FF013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You can pinpoint SEND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pupils</w:t>
      </w:r>
      <w:r w:rsidRPr="193CED4B" w:rsidR="2D466DC0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 </w:t>
      </w:r>
      <w:r w:rsidRPr="193CED4B" w:rsidR="078FF013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and the seating plan is planned to ensure positive outcomes and timely support. RADAR is </w:t>
      </w:r>
      <w:r w:rsidRPr="193CED4B" w:rsidR="078FF013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supported</w:t>
      </w:r>
      <w:r w:rsidRPr="193CED4B" w:rsidR="078FF013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 by this</w:t>
      </w:r>
    </w:p>
    <w:p xmlns:wp14="http://schemas.microsoft.com/office/word/2010/wordml" w:rsidR="00AC3AC0" w:rsidP="193CED4B" w:rsidRDefault="00AC3AC0" w14:paraId="0A37501D" wp14:textId="77777777" wp14:noSpellErr="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780FD761" wp14:textId="77777777" wp14:noSpellErr="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Entry routine</w:t>
      </w:r>
    </w:p>
    <w:p w:rsidR="193CED4B" w:rsidP="193CED4B" w:rsidRDefault="193CED4B" w14:paraId="388B34DD" w14:textId="228224CC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73DEC09A" wp14:textId="7813D708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Where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pupils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are struggling to start </w:t>
      </w:r>
      <w:r w:rsidRPr="193CED4B" w:rsidR="7897C88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the do it now</w:t>
      </w:r>
      <w:r w:rsidRPr="193CED4B" w:rsidR="2E1FE1B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task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193CED4B" w:rsidR="32C0A4E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this is noticed swiftly and 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we quickly support them in a positive way.</w:t>
      </w:r>
      <w:r w:rsidRPr="193CED4B" w:rsidR="66CDBFF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66CDBFFD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Responding to classroom feedback and ensuring 100% compliance and valuable time is not lost.</w:t>
      </w:r>
    </w:p>
    <w:p w:rsidR="193CED4B" w:rsidP="193CED4B" w:rsidRDefault="193CED4B" w14:paraId="310807FA" w14:textId="6542B512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31D96AD1" wp14:textId="338EC83D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We use routine and procedure to ensure all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pupils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know what to expect.</w:t>
      </w:r>
      <w:r w:rsidRPr="193CED4B" w:rsidR="25114ED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25114ED5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All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pupils</w:t>
      </w:r>
      <w:r w:rsidRPr="193CED4B" w:rsidR="25114ED5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 benefit from clear routine from class to class. This will </w:t>
      </w:r>
      <w:r w:rsidRPr="193CED4B" w:rsidR="25114ED5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globally</w:t>
      </w:r>
      <w:r w:rsidRPr="193CED4B" w:rsidR="25114ED5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 help the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pupils</w:t>
      </w:r>
      <w:r w:rsidRPr="193CED4B" w:rsidR="25114ED5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 with diagnosed and undiagnosed ASD.</w:t>
      </w:r>
    </w:p>
    <w:p w:rsidR="193CED4B" w:rsidP="193CED4B" w:rsidRDefault="193CED4B" w14:paraId="03D2A320" w14:textId="2D5EFD2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0CE63967" wp14:textId="41C05FC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We welcome every student into the classroom with a positive comment, ensuring all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pupils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feel welcome.</w:t>
      </w:r>
      <w:r w:rsidRPr="193CED4B" w:rsidR="102889F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102889F2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Building </w:t>
      </w:r>
      <w:r w:rsidRPr="193CED4B" w:rsidR="3F5845D8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positive</w:t>
      </w:r>
      <w:r w:rsidRPr="193CED4B" w:rsidR="102889F2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 relationships is the single most important action when working with ALL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pupils</w:t>
      </w:r>
      <w:r w:rsidRPr="193CED4B" w:rsidR="102889F2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 but </w:t>
      </w:r>
      <w:r w:rsidRPr="193CED4B" w:rsidR="6602ED9C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in particular</w:t>
      </w:r>
      <w:r w:rsidRPr="193CED4B" w:rsidR="102889F2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 those who often get left behind </w:t>
      </w:r>
      <w:r w:rsidRPr="193CED4B" w:rsidR="249233BC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(</w:t>
      </w:r>
      <w:r w:rsidRPr="193CED4B" w:rsidR="102889F2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SEND)</w:t>
      </w:r>
      <w:r w:rsidRPr="193CED4B" w:rsidR="3F5845D8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 Taking time to understand the neuro atypicality. </w:t>
      </w:r>
    </w:p>
    <w:p xmlns:wp14="http://schemas.microsoft.com/office/word/2010/wordml" w:rsidR="00AC3AC0" w:rsidP="193CED4B" w:rsidRDefault="00AC3AC0" w14:paraId="5DAB6C7B" wp14:textId="77777777" wp14:noSpellErr="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1AA8CB0C" wp14:textId="77777777" wp14:noSpellErr="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During teaching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</w:p>
    <w:p w:rsidR="193CED4B" w:rsidP="193CED4B" w:rsidRDefault="193CED4B" w14:paraId="7D140E9A" w14:textId="3A1736B5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0094AD3E" wp14:textId="51355345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We ensure we take cognitive load into </w:t>
      </w:r>
      <w:r w:rsidRPr="193CED4B" w:rsidR="3C5380A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account;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0CFC5B4D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handouts 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are created to provide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pupils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with all resources that are required.</w:t>
      </w:r>
      <w:r w:rsidRPr="193CED4B" w:rsidR="3692C36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5CDD083B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Very important to avoid wasting time on copying things that can easily be reproduced. This simple action can help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pupils</w:t>
      </w:r>
      <w:r w:rsidRPr="193CED4B" w:rsidR="5CDD083B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 with limited motor skills to feel that they are to behind all of the time. </w:t>
      </w:r>
      <w:r w:rsidRPr="193CED4B" w:rsidR="2F8653E5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(</w:t>
      </w:r>
      <w:proofErr w:type="gramStart"/>
      <w:r w:rsidRPr="193CED4B" w:rsidR="2F8653E5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also</w:t>
      </w:r>
      <w:proofErr w:type="gramEnd"/>
      <w:r w:rsidRPr="193CED4B" w:rsidR="2F8653E5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, your diagrams are probably clearer) </w:t>
      </w:r>
    </w:p>
    <w:p w:rsidR="193CED4B" w:rsidP="193CED4B" w:rsidRDefault="193CED4B" w14:paraId="5B0D72B7" w14:textId="31D24124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0CE92E16" wp14:textId="219DB77D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We use </w:t>
      </w:r>
      <w:r w:rsidRPr="193CED4B" w:rsidR="308787C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learning at Pilton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techniques</w:t>
      </w:r>
      <w:r w:rsidRPr="193CED4B" w:rsidR="1583B7C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to engage all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pupils</w:t>
      </w:r>
      <w:r w:rsidRPr="193CED4B" w:rsidR="19F804F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;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3CDE758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including,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118EFC1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100%</w:t>
      </w:r>
      <w:r w:rsidRPr="193CED4B" w:rsidR="49115C5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radar</w:t>
      </w:r>
      <w:r w:rsidRPr="193CED4B" w:rsidR="3F5CAB5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, and circulation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to ensure all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pupils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understand the task.</w:t>
      </w:r>
      <w:r w:rsidRPr="193CED4B" w:rsidR="06E54E4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6DB5400E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Techniques are great for all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pupils</w:t>
      </w:r>
      <w:r w:rsidRPr="193CED4B" w:rsidR="6DB5400E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...particularly SEND</w:t>
      </w:r>
    </w:p>
    <w:p xmlns:wp14="http://schemas.microsoft.com/office/word/2010/wordml" w:rsidR="00AC3AC0" w:rsidP="193CED4B" w:rsidRDefault="00AC3AC0" w14:paraId="00771707" wp14:textId="19E66285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3AA937AA" wp14:textId="0B61170D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</w:pPr>
      <w:r w:rsidRPr="193CED4B" w:rsidR="71E2A29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We communicate clearly with our </w:t>
      </w:r>
      <w:proofErr w:type="gramStart"/>
      <w:r w:rsidRPr="193CED4B" w:rsidR="329893B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TA's</w:t>
      </w:r>
      <w:proofErr w:type="gramEnd"/>
      <w:r w:rsidRPr="193CED4B" w:rsidR="107DF5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to ensure they understand how they can best support the learning, making time to seek their advice for selected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pupils</w:t>
      </w:r>
      <w:r w:rsidRPr="193CED4B" w:rsidR="107DF5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193CED4B" w:rsidR="3CA16B43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TAs at Pilton are so knowledgeable about our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pupils</w:t>
      </w:r>
      <w:r w:rsidRPr="193CED4B" w:rsidR="47A25029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, research shows that clear teacher/TA dialogue and positive relationships make a significant difference to the impact of TAs</w:t>
      </w:r>
    </w:p>
    <w:p w:rsidR="193CED4B" w:rsidP="193CED4B" w:rsidRDefault="193CED4B" w14:paraId="18D76341" w14:textId="0F86888A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738F656C" wp14:textId="05D77D45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When using cold </w:t>
      </w:r>
      <w:proofErr w:type="gramStart"/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call</w:t>
      </w:r>
      <w:proofErr w:type="gramEnd"/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we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pre warn identified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pupils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or use our circulation to pre check for 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accurate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6A848A58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responses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  <w:r w:rsidRPr="193CED4B" w:rsidR="7498D83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7498D836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Building </w:t>
      </w:r>
      <w:proofErr w:type="gramStart"/>
      <w:r w:rsidRPr="193CED4B" w:rsidR="7498D836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self esteem</w:t>
      </w:r>
      <w:proofErr w:type="gramEnd"/>
      <w:r w:rsidRPr="193CED4B" w:rsidR="7498D836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 and setting them up for success NOT failure. </w:t>
      </w:r>
    </w:p>
    <w:p xmlns:wp14="http://schemas.microsoft.com/office/word/2010/wordml" w:rsidR="00AC3AC0" w:rsidP="193CED4B" w:rsidRDefault="00AC3AC0" w14:paraId="3C9261E7" wp14:textId="2EFCB94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During independent tasks we circulate consistently, looking to 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identify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misconceptions or opportunities to give 1-2-1 support.</w:t>
      </w:r>
      <w:r w:rsidRPr="193CED4B" w:rsidR="74869D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74869D05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We need to know what is being produced by our SEND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pupils</w:t>
      </w:r>
      <w:r w:rsidRPr="193CED4B" w:rsidR="74869D05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 so we can </w:t>
      </w:r>
      <w:r w:rsidRPr="193CED4B" w:rsidR="0296D494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close gaps more quickly and provide quality feedback to the EHCP process.</w:t>
      </w:r>
    </w:p>
    <w:p xmlns:wp14="http://schemas.microsoft.com/office/word/2010/wordml" w:rsidR="00AC3AC0" w:rsidP="193CED4B" w:rsidRDefault="00AC3AC0" w14:paraId="0F8538D7" wp14:textId="505BD39E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62D24322" wp14:textId="49A2C315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93CED4B" w:rsidR="1122B51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When </w:t>
      </w:r>
      <w:r w:rsidRPr="193CED4B" w:rsidR="3EE9CF1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unknown or new </w:t>
      </w:r>
      <w:r w:rsidRPr="193CED4B" w:rsidR="1122B51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individual needs show themselves during a </w:t>
      </w:r>
      <w:proofErr w:type="gramStart"/>
      <w:r w:rsidRPr="193CED4B" w:rsidR="1122B51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lesson</w:t>
      </w:r>
      <w:proofErr w:type="gramEnd"/>
      <w:r w:rsidRPr="193CED4B" w:rsidR="1122B51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we communicate this to </w:t>
      </w:r>
      <w:r w:rsidRPr="193CED4B" w:rsidR="02A0AAA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SENDCo</w:t>
      </w:r>
      <w:r w:rsidRPr="193CED4B" w:rsidR="1122B51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  <w:r w:rsidRPr="193CED4B" w:rsidR="5A2DEEB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193CED4B" w:rsidR="774F0DD3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It helps to have a history of need and gives us the </w:t>
      </w:r>
      <w:proofErr w:type="spellStart"/>
      <w:r w:rsidRPr="193CED4B" w:rsidR="774F0DD3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>abiltiy</w:t>
      </w:r>
      <w:proofErr w:type="spellEnd"/>
      <w:r w:rsidRPr="193CED4B" w:rsidR="774F0DD3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 to act quickly when gaps appear. </w:t>
      </w:r>
    </w:p>
    <w:p xmlns:wp14="http://schemas.microsoft.com/office/word/2010/wordml" w:rsidR="00AC3AC0" w:rsidP="193CED4B" w:rsidRDefault="00AC3AC0" w14:paraId="7284DB6B" wp14:textId="0D23E04A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02EB378F" wp14:textId="58B843F7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60A92563" wp14:textId="77777777" wp14:noSpellErr="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After each lesson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</w:p>
    <w:p w:rsidR="193CED4B" w:rsidP="193CED4B" w:rsidRDefault="193CED4B" w14:paraId="66CA9D12" w14:textId="6F8BA2B7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0E41BDDF" wp14:textId="7A672FA2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We mark the work of SEND </w:t>
      </w:r>
      <w:r w:rsidRPr="193CED4B" w:rsidR="59BFA46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pupils</w:t>
      </w: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with clear comments tailored to them. </w:t>
      </w:r>
      <w:r w:rsidRPr="193CED4B" w:rsidR="70E8776F">
        <w:rPr>
          <w:rFonts w:ascii="Calibri" w:hAnsi="Calibri" w:eastAsia="Calibri" w:cs="Calibri" w:asciiTheme="minorAscii" w:hAnsiTheme="minorAscii" w:eastAsiaTheme="minorAscii" w:cstheme="minorAscii"/>
          <w:color w:val="70AD47" w:themeColor="accent6" w:themeTint="FF" w:themeShade="FF"/>
          <w:sz w:val="28"/>
          <w:szCs w:val="28"/>
        </w:rPr>
        <w:t xml:space="preserve">No point in writing complex sentences if they can’t be understood! </w:t>
      </w:r>
    </w:p>
    <w:p xmlns:wp14="http://schemas.microsoft.com/office/word/2010/wordml" w:rsidR="00AC3AC0" w:rsidP="193CED4B" w:rsidRDefault="00AC3AC0" w14:paraId="2997F901" wp14:textId="47F83E36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xmlns:wp14="http://schemas.microsoft.com/office/word/2010/wordml" w:rsidR="00AC3AC0" w:rsidP="193CED4B" w:rsidRDefault="00AC3AC0" w14:paraId="43DA89D5" wp14:textId="7F7DFDF1">
      <w:pPr>
        <w:pStyle w:val="NormalWeb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We use exit tickets and other </w:t>
      </w:r>
      <w:proofErr w:type="spellStart"/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AfL</w:t>
      </w:r>
      <w:proofErr w:type="spellEnd"/>
      <w:r w:rsidRPr="193CED4B" w:rsidR="00AC3AC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to inform our next lesson.</w:t>
      </w:r>
      <w:r w:rsidRPr="193CED4B" w:rsidR="38AA28A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xmlns:wp14="http://schemas.microsoft.com/office/word/2010/wordml" w:rsidR="007703EB" w:rsidP="193CED4B" w:rsidRDefault="007703EB" w14:paraId="6A05A809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sectPr w:rsidR="007703EB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12a5b56285b94d74"/>
      <w:footerReference w:type="default" r:id="Rf65aa0eac05746e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93CED4B" w:rsidTr="193CED4B" w14:paraId="6C06E014">
      <w:tc>
        <w:tcPr>
          <w:tcW w:w="3005" w:type="dxa"/>
          <w:tcMar/>
        </w:tcPr>
        <w:p w:rsidR="193CED4B" w:rsidP="193CED4B" w:rsidRDefault="193CED4B" w14:paraId="39717617" w14:textId="178F368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93CED4B" w:rsidP="193CED4B" w:rsidRDefault="193CED4B" w14:paraId="4E0E0985" w14:textId="1AA76EA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93CED4B" w:rsidP="193CED4B" w:rsidRDefault="193CED4B" w14:paraId="01A0D3DD" w14:textId="0E308EF6">
          <w:pPr>
            <w:pStyle w:val="Header"/>
            <w:bidi w:val="0"/>
            <w:ind w:right="-115"/>
            <w:jc w:val="right"/>
          </w:pPr>
        </w:p>
      </w:tc>
    </w:tr>
  </w:tbl>
  <w:p w:rsidR="193CED4B" w:rsidP="193CED4B" w:rsidRDefault="193CED4B" w14:paraId="5C83FED1" w14:textId="0E4243D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93CED4B" w:rsidTr="193CED4B" w14:paraId="2E1108D1">
      <w:tc>
        <w:tcPr>
          <w:tcW w:w="3005" w:type="dxa"/>
          <w:tcMar/>
        </w:tcPr>
        <w:p w:rsidR="193CED4B" w:rsidP="193CED4B" w:rsidRDefault="193CED4B" w14:paraId="360F2ECF" w14:textId="30FCE4A1">
          <w:pPr>
            <w:pStyle w:val="Header"/>
            <w:bidi w:val="0"/>
            <w:ind w:left="-115"/>
            <w:jc w:val="left"/>
          </w:pPr>
          <w:r w:rsidR="193CED4B">
            <w:rPr/>
            <w:t>SEND LEARNING EXPERIENCE</w:t>
          </w:r>
        </w:p>
      </w:tc>
      <w:tc>
        <w:tcPr>
          <w:tcW w:w="3005" w:type="dxa"/>
          <w:tcMar/>
        </w:tcPr>
        <w:p w:rsidR="193CED4B" w:rsidP="193CED4B" w:rsidRDefault="193CED4B" w14:paraId="3CCB867A" w14:textId="36E05DAF">
          <w:pPr>
            <w:pStyle w:val="Header"/>
            <w:bidi w:val="0"/>
            <w:jc w:val="center"/>
          </w:pPr>
          <w:r w:rsidR="193CED4B">
            <w:rPr/>
            <w:t>PERFORMING ARTS</w:t>
          </w:r>
        </w:p>
      </w:tc>
      <w:tc>
        <w:tcPr>
          <w:tcW w:w="3005" w:type="dxa"/>
          <w:tcMar/>
        </w:tcPr>
        <w:p w:rsidR="193CED4B" w:rsidP="193CED4B" w:rsidRDefault="193CED4B" w14:paraId="47D989E2" w14:textId="70D5E0AA">
          <w:pPr>
            <w:pStyle w:val="Header"/>
            <w:bidi w:val="0"/>
            <w:ind w:right="-115"/>
            <w:jc w:val="right"/>
          </w:pPr>
          <w:r w:rsidR="193CED4B">
            <w:rPr/>
            <w:t>2022</w:t>
          </w:r>
        </w:p>
      </w:tc>
    </w:tr>
  </w:tbl>
  <w:p w:rsidR="193CED4B" w:rsidP="193CED4B" w:rsidRDefault="193CED4B" w14:paraId="61EB70F1" w14:textId="382F5531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C0"/>
    <w:rsid w:val="007703EB"/>
    <w:rsid w:val="00AC3AC0"/>
    <w:rsid w:val="0296D494"/>
    <w:rsid w:val="02A0AAA4"/>
    <w:rsid w:val="02E1D74B"/>
    <w:rsid w:val="06E54E43"/>
    <w:rsid w:val="078FF013"/>
    <w:rsid w:val="08D0200A"/>
    <w:rsid w:val="09E25B1F"/>
    <w:rsid w:val="0ABC1EB8"/>
    <w:rsid w:val="0C8689E7"/>
    <w:rsid w:val="0C88B991"/>
    <w:rsid w:val="0CFC5B4D"/>
    <w:rsid w:val="0D7B9350"/>
    <w:rsid w:val="0E6C7F7F"/>
    <w:rsid w:val="102889F2"/>
    <w:rsid w:val="107D072F"/>
    <w:rsid w:val="107DF5D7"/>
    <w:rsid w:val="109AF4E9"/>
    <w:rsid w:val="10B33412"/>
    <w:rsid w:val="1122B51C"/>
    <w:rsid w:val="118EFC1B"/>
    <w:rsid w:val="13299F09"/>
    <w:rsid w:val="1583B7C6"/>
    <w:rsid w:val="193CED4B"/>
    <w:rsid w:val="19F804FC"/>
    <w:rsid w:val="1A7C5724"/>
    <w:rsid w:val="1D788EBD"/>
    <w:rsid w:val="1F817B47"/>
    <w:rsid w:val="224CE914"/>
    <w:rsid w:val="22661171"/>
    <w:rsid w:val="249233BC"/>
    <w:rsid w:val="25114ED5"/>
    <w:rsid w:val="26B5DAD7"/>
    <w:rsid w:val="27275E89"/>
    <w:rsid w:val="28878591"/>
    <w:rsid w:val="28BC2A98"/>
    <w:rsid w:val="2A57FAF9"/>
    <w:rsid w:val="2A8FE886"/>
    <w:rsid w:val="2D466DC0"/>
    <w:rsid w:val="2E1FE1BC"/>
    <w:rsid w:val="2F8653E5"/>
    <w:rsid w:val="308787CB"/>
    <w:rsid w:val="31D3A27E"/>
    <w:rsid w:val="329893B2"/>
    <w:rsid w:val="32C0A4E3"/>
    <w:rsid w:val="34566A93"/>
    <w:rsid w:val="358972C9"/>
    <w:rsid w:val="3692C364"/>
    <w:rsid w:val="36C8687E"/>
    <w:rsid w:val="38AA28A2"/>
    <w:rsid w:val="3C5380AD"/>
    <w:rsid w:val="3CA16B43"/>
    <w:rsid w:val="3CDE758B"/>
    <w:rsid w:val="3EE9CF12"/>
    <w:rsid w:val="3F5845D8"/>
    <w:rsid w:val="3F5CAB5C"/>
    <w:rsid w:val="412AF644"/>
    <w:rsid w:val="41BFE863"/>
    <w:rsid w:val="437E9FA7"/>
    <w:rsid w:val="46935986"/>
    <w:rsid w:val="47A25029"/>
    <w:rsid w:val="47B7F3CB"/>
    <w:rsid w:val="485977CD"/>
    <w:rsid w:val="49115C58"/>
    <w:rsid w:val="4D3A4DBB"/>
    <w:rsid w:val="4E9E6B6B"/>
    <w:rsid w:val="54D587C6"/>
    <w:rsid w:val="55E75E51"/>
    <w:rsid w:val="562E30B1"/>
    <w:rsid w:val="56A1806C"/>
    <w:rsid w:val="57832EB2"/>
    <w:rsid w:val="59BB10ED"/>
    <w:rsid w:val="59BFA46C"/>
    <w:rsid w:val="5A2DEEB1"/>
    <w:rsid w:val="5A4C85A0"/>
    <w:rsid w:val="5A77F0A9"/>
    <w:rsid w:val="5C7CDBF2"/>
    <w:rsid w:val="5CDD083B"/>
    <w:rsid w:val="603F24BF"/>
    <w:rsid w:val="63A07BEF"/>
    <w:rsid w:val="65F0663B"/>
    <w:rsid w:val="6602ED9C"/>
    <w:rsid w:val="66CDBFFD"/>
    <w:rsid w:val="66D81CB1"/>
    <w:rsid w:val="6873ED12"/>
    <w:rsid w:val="6A848A58"/>
    <w:rsid w:val="6D475E35"/>
    <w:rsid w:val="6DB5400E"/>
    <w:rsid w:val="6DBEF217"/>
    <w:rsid w:val="70E8776F"/>
    <w:rsid w:val="71482248"/>
    <w:rsid w:val="71E2A299"/>
    <w:rsid w:val="73B69FB9"/>
    <w:rsid w:val="74869D05"/>
    <w:rsid w:val="7498D836"/>
    <w:rsid w:val="75FB66BC"/>
    <w:rsid w:val="76035442"/>
    <w:rsid w:val="761B936B"/>
    <w:rsid w:val="76EE407B"/>
    <w:rsid w:val="774F0DD3"/>
    <w:rsid w:val="7897C88B"/>
    <w:rsid w:val="7933077E"/>
    <w:rsid w:val="797EA917"/>
    <w:rsid w:val="7ABDB0EE"/>
    <w:rsid w:val="7C59814F"/>
    <w:rsid w:val="7E0678A1"/>
    <w:rsid w:val="7E0E6627"/>
    <w:rsid w:val="7EDCF784"/>
    <w:rsid w:val="7F013FE6"/>
    <w:rsid w:val="7F4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8D28"/>
  <w15:chartTrackingRefBased/>
  <w15:docId w15:val="{179B1FB5-6E74-4349-AAEB-0A7032B921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AC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12a5b56285b94d74" /><Relationship Type="http://schemas.openxmlformats.org/officeDocument/2006/relationships/footer" Target="footer.xml" Id="Rf65aa0eac05746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Simon Robilliard</lastModifiedBy>
  <revision>2</revision>
  <dcterms:created xsi:type="dcterms:W3CDTF">2022-01-10T16:02:00.0000000Z</dcterms:created>
  <dcterms:modified xsi:type="dcterms:W3CDTF">2022-01-13T21:40:22.1197595Z</dcterms:modified>
</coreProperties>
</file>